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Referat de aprobare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privind Ordinul privind încadrarea în activitatea de creare de programe pentru calculator</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Guvernul României și-a asumat aplicarea unitară și nediscriminatorie a prevederilor art. 60 pct. 2 din Legea nr. 227/2015 privind Codul fiscal, cu modificările şi completările ulterioare, astfel  încât și personalul din instituțiile publice care desfășoară activități de creare de programe pentru calculator să beneficieze de scutire de la plata impozitului pe venit pentru veniturile din salarii și asimilate salariilor.</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Această măsură se circumscrie în măsurile implementate de Guvern pentru accelerarea procesului de transformare digitală a României, prin recrutarea și menținerea personalului TIC în administrația publică, astfel încât personalul din instituțiile publice să fie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recrutat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dintre specialiști în domeniu și să se dezvolte profesional, pe o durată lungă de timp, în serviciul public.</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Inițiatorii apreciază că norma legală prevăzută la art. 60 pct. 2 din Legea nr. 227/2015, cu modificările și completările ulterioare, trebuie interpretată extensiv, cu respectarea argumentului de interpretare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Ubi lex non distinguit, nec nos distinguere debemus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Astfel din momentul în care legea nu restricționează expres aplicarea dispoziției legale la personalul din instituțiile publice, ea trebuie să se aplice și acestui personal care desfășoară activități de creare de  programe pentru calculator în domeniul TIC.</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Potrivit Programului de guvernare 2021-2024  ”Coaliția pentru reziliență, prosperitate și dezvoltare” aprobat prin Hotărârea Parlamentului nr. 42/2021 privind acordarea încrederii Guvernului, Guvernul României își propune:</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Sistematizarea, simplificarea şi unificarea legislaţiei privind funcţionarea instituţiilor/entităţilor de cercetare (resurse umane, finanţare de bază, finanţarea în regim competitiv,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agenda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strategică de cercetare, infrastructură, relaţia cu agenţii economici, inclusiv crearea unui cadru necesar consolidării relaţiilor/parteneriatelor dintre universităţile de cercetare avansată şi educaţie şi institutele naţionale de cercetare,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institutele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din subordinea Academiei Române, institutele şi centrele de cercetare din subordinea Academiei de Ştiinţe Agricole şi Silvice, precum şi entităţile de cercetare din domeniul apărării). Universităţile vor fi sprijinite inclusiv în demersul de preluare voluntară a unor institute de cercetare;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va crea cadrul necesar pentru tranziţia la economia şi societatea digitală prin inovaţii şi tehnologii relevante, competitive şi scalabile, contribuind la obiectivul Guvernului de a implementa o nouă paradigmă fundamentată pe o dezvoltare sustenabilă a societăţii şi economiei româneşti şi la îndeplinirea obiectivului de convergenţă reală cu partenerii din Uniunea Europeană;</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Administraţie publică digitală - tranziţia rapidă, printr-un proces de transformare digitală a administraţiei publice din România, de la statutul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neconsolidat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încă de e-Government la cel de smart government. Această tranziţie se realizează parcurgând în mod obligatoriu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etapa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fundamentală de guvernare bazată pe date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data-centric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government);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Prezentul ordin clarifică faptul că scutirea de impozit pe veniturile obținute din salarii și asimilate salariilor se aplică și personalului angajat din instituțiile publice locale, astfel cum sunt definite la art. 2 pct. 39 din Legea nr. 273/2006 privind finanţele publice locale cu modificările și completările ulterioare. Deși pct. 30 al art. 2 din Legea nr. 500/2002 poate fi interpretat în sensul în care definiția cuprinde și autoritățile administrației publice locale, concluzie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desprinzându-se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din sintagma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celelalte organe de specialitate ale administraţiei publice, alte autorităţi publice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majoritatea compartimentelor juridice ale unităților administrativ teritoriale au apreciat că nu li se aplică ordinul, din cauză că, la art.2 alin. (1), nu se face trimitere expresă la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definiția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instituțiilor publice locale prevăzută în art. 2 pct. 39 din Legea nr. 273/2006.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Problema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interpretare neunitară a fost sesizată și de către Asociația Municipiilor din România prin adresa nr. 088/02.02.2023.</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Prezentul ordin clarifică faptul că scutirea de la plata impozitului pe veniturile din salarii şi asimilate salariilor pentru persoanele prevăzute la art. 2 din ordin se aplică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angajatului pe întreaga  perioadă în care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acesta desfășoară efectiv</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activitatea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de creare de programe pentru calculator.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Perioada de prestare efectivă a activităților se stabilește prin act administrativ al conducătorului instituției publice.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Iniţierea şi durata procesului de creare de programe pentru calculator se atestă prin document/documente aprobat/aprobate de conducătorul instituției publice, stabilit/stabilite prin raportare la prevederile legale privind organizarea și funcționarea instituției care intenționează să acorde facilitatea fiscală</w:t>
      </w:r>
      <w:r w:rsidDel="00000000" w:rsidR="00000000" w:rsidRPr="00000000">
        <w:rPr>
          <w:rFonts w:ascii="Times New Roman" w:cs="Times New Roman" w:eastAsia="Times New Roman" w:hAnsi="Times New Roman"/>
          <w:b w:val="1"/>
          <w:sz w:val="24"/>
          <w:szCs w:val="24"/>
          <w:rtl w:val="0"/>
        </w:rPr>
        <w:t xml:space="preserve">, precum și la obiectul și limitele actului </w:t>
      </w:r>
      <w:r w:rsidDel="00000000" w:rsidR="00000000" w:rsidRPr="00000000">
        <w:rPr>
          <w:rFonts w:ascii="Times New Roman" w:cs="Times New Roman" w:eastAsia="Times New Roman" w:hAnsi="Times New Roman"/>
          <w:b w:val="1"/>
          <w:sz w:val="24"/>
          <w:szCs w:val="24"/>
          <w:rtl w:val="0"/>
        </w:rPr>
        <w:t xml:space="preserve">administrativ</w:t>
      </w:r>
      <w:r w:rsidDel="00000000" w:rsidR="00000000" w:rsidRPr="00000000">
        <w:rPr>
          <w:rFonts w:ascii="Times New Roman" w:cs="Times New Roman" w:eastAsia="Times New Roman" w:hAnsi="Times New Roman"/>
          <w:b w:val="1"/>
          <w:sz w:val="24"/>
          <w:szCs w:val="24"/>
          <w:rtl w:val="0"/>
        </w:rPr>
        <w:t xml:space="preserve"> al conducătorului instituției publice.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Solicitarea privind clarificarea duratei aplicării scutirii a fost formulată de mai multe instituții și autorități publice centrale și locale, precum și de către asociațiile profesionale ale unităților administrativ-teritoriale.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Prezentul ordin recunoaște posibilitatea juridică ca activitatea de creare de programe de calculator să fie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stabilită/prevăzută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nu doar în fișa postului,</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ci și în orice alt act juridic care stabilește atribuțiile de serviciu ale angajatului</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de exemplu,</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acte administrative ale conducătorului instituției publice, acte de comandament militar, ordine ale șefului de misiune, acte administrative clasificate etc).</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ab/>
        <w:t xml:space="preserve">Noul ordin prevede că activitatea de creare de programe pentru calculator, în sensul prevederilor Legii nr. 227/2015 privind Codul fiscal, cu modificările şi completările ulterioare, reprezintă prestarea efectivă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 cel puțin uneia dintre activităţile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de creare de programe pentru calculator corespunzătoare ocupaţiilor specifice prevăzute în anexă, după caz, corespunzătoare activităților prevăzute în anexă și individualizate în fișa postului sau în oricare alt act juridic care stabilește atribuțiile de serviciu, conform art. 2 alin. (4).</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sz w:val="24"/>
          <w:szCs w:val="24"/>
          <w:highlight w:val="yellow"/>
          <w:u w:val="none"/>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Un element de noutate al ordinului este faptul că impune evidențierea distinctă a activităților angajaților care beneficiază de prevederile alin. (1) și că această evidențiere se realizează lunar,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perioada în care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se desfășoară efectiv activitatea de creare de programe pentru calculator. Modalitatea în care se va evidenția activitatea desfășurată lunar se stabilește prin act administrativ al </w:t>
      </w:r>
      <w:r w:rsidDel="00000000" w:rsidR="00000000" w:rsidRPr="00000000">
        <w:rPr>
          <w:rFonts w:ascii="Times New Roman" w:cs="Times New Roman" w:eastAsia="Times New Roman" w:hAnsi="Times New Roman"/>
          <w:sz w:val="24"/>
          <w:szCs w:val="24"/>
          <w:rtl w:val="0"/>
        </w:rPr>
        <w:t xml:space="preserve">conducătorului</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instituției publice.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De asemenea, se clarifică faptul că pentru angajații din instituțiile publice, competenţele şi atribuţiile specifice sunt prevăzute în fișa postului sau în orice </w:t>
      </w:r>
      <w:r w:rsidDel="00000000" w:rsidR="00000000" w:rsidRPr="00000000">
        <w:rPr>
          <w:rFonts w:ascii="Times New Roman" w:cs="Times New Roman" w:eastAsia="Times New Roman" w:hAnsi="Times New Roman"/>
          <w:sz w:val="24"/>
          <w:szCs w:val="24"/>
          <w:rtl w:val="0"/>
        </w:rPr>
        <w:t xml:space="preserve">alt</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act juridic care stabilește atribuțiile de serviciu ale angajatului. Totodată, având în vedere reglementările din acte normative precum Ordonanța de Urgență a Guvernului nr.30/2022 privind unele măsuri pentru consolidarea capacităţii instituţionale şi administrative a Ministerului Cercetării, Inovării şi Digitalizării şi a Autorităţii pentru Digitalizarea României necesare implementării componentei C7 - Transformare digitală din Planul naţional de redresare şi rezilienţă, precum şi alte categorii de măsuri, prin care se aprobă înființarea unor structuri în afara organigramei, în cazul instituțiilor publice se prevede exceptarea evidențierii în organigrama angajatorului a postului alocat desfăşurării activităţii de creare de programe pentru calculator.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Scutirea de la plata impozitului pe veniturile din salarii şi asimilate salariilor pentru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angajații din instituțiile publice,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se aplică pe întreaga perioadă în care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aceștia desfășoară efectiv</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activitatea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de creare de programe pentru calculator.</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Arial" w:cs="Arial" w:eastAsia="Arial" w:hAnsi="Arial"/>
          <w:b w:val="0"/>
          <w:i w:val="0"/>
          <w:smallCaps w:val="0"/>
          <w:strike w:val="0"/>
          <w:sz w:val="22"/>
          <w:szCs w:val="22"/>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De asemenea, se clarifică faptul că î</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 situația în care activitatea de creare de programe pentru calculator se desfășoară efectiv pentru o fracție din lună, scutirea de la plata impozitului pe veniturile din salarii şi asimilate salariilor pentru  angajații din instituțiile publice se aplică pentru întregul venit din salarii şi asimilat salariilor realizat în luna respectivă. Spre exemplu, situațiile angajaților care, în cursul aceleiași luni, desfășoară efectiv activitate de creare programe pentru calculator și beneficiază de concediu de odihnă, concediu medical, concediu plătit în cazul unor evenimente familiale deosebite, potrivit legii, precum și posibilitatea începerii/finalizării în cursul lunii a perioadei în care se desfășoară  activitatea de creare programe pentru calculator</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Potrivit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1 alin. (4) din HG nr. 371/2021,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Ministerul Cercetării, Inovării și Digitalizării este autoritatea de stat în domeniile tehnologiei informației, societății informaționale și cadrului național de interoperabilitate, prin Autoritatea pentru Digitalizarea României.</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Având în vedere cele mai sus menționate, se impune emiterea unui nou ordin privind încadrarea în activitatea de creare de programe pentru calculator astfel încât scutirea să se aplice și noilor realități economico-sociale.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Ținând cont de urgența reglementării generată de acordarea scutirii pentru toate subiectele de drept cărora li se adresează norma, dar și nevoia de a clarificare limitele și întinderea normei, în temeiul art. 7 alin. (13) din Legea nr. 52/2003,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supunem proiectul de act administrativ unei perioade de consultări publice de 10 zile lucrătoare.</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Pentru toate acestea, propunem aprobarea prezentului referat de aprobare și a proiectului de ordin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privind încadrarea în activitatea de creare de programe pentru calculator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Întocmit,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pgSz w:h="16838" w:w="11906"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3105150" cy="8953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05150" cy="8953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qFormat w:val="1"/>
    <w:pPr>
      <w:widowControl w:val="1"/>
      <w:bidi w:val="0"/>
      <w:spacing w:line="276" w:lineRule="auto"/>
      <w:jc w:val="left"/>
    </w:pPr>
    <w:rPr>
      <w:rFonts w:ascii="Arial" w:cs="Arial" w:eastAsia="Arial" w:hAnsi="Arial"/>
      <w:color w:val="auto"/>
      <w:kern w:val="0"/>
      <w:sz w:val="22"/>
      <w:szCs w:val="22"/>
      <w:lang w:bidi="hi-IN" w:eastAsia="zh-CN" w:val="ro"/>
    </w:rPr>
  </w:style>
  <w:style w:type="paragraph" w:styleId="Heading1">
    <w:name w:val="Heading 1"/>
    <w:basedOn w:val="Normal"/>
    <w:next w:val="LOnormal"/>
    <w:qFormat w:val="1"/>
    <w:pPr>
      <w:keepNext w:val="1"/>
      <w:keepLines w:val="1"/>
      <w:widowControl w:val="0"/>
      <w:bidi w:val="0"/>
      <w:spacing w:after="120" w:before="400"/>
      <w:jc w:val="left"/>
      <w:outlineLvl w:val="0"/>
    </w:pPr>
    <w:rPr>
      <w:rFonts w:ascii="Arial" w:cs="Arial" w:eastAsia="Arial" w:hAnsi="Arial"/>
      <w:color w:val="auto"/>
      <w:kern w:val="0"/>
      <w:sz w:val="40"/>
      <w:szCs w:val="40"/>
      <w:lang w:bidi="hi-IN" w:eastAsia="zh-CN" w:val="ro"/>
    </w:rPr>
  </w:style>
  <w:style w:type="paragraph" w:styleId="Heading2">
    <w:name w:val="Heading 2"/>
    <w:basedOn w:val="Normal"/>
    <w:next w:val="LOnormal"/>
    <w:qFormat w:val="1"/>
    <w:pPr>
      <w:keepNext w:val="1"/>
      <w:keepLines w:val="1"/>
      <w:widowControl w:val="0"/>
      <w:bidi w:val="0"/>
      <w:spacing w:after="120" w:before="360"/>
      <w:jc w:val="left"/>
      <w:outlineLvl w:val="1"/>
    </w:pPr>
    <w:rPr>
      <w:rFonts w:ascii="Arial" w:cs="Arial" w:eastAsia="Arial" w:hAnsi="Arial"/>
      <w:color w:val="auto"/>
      <w:kern w:val="0"/>
      <w:sz w:val="32"/>
      <w:szCs w:val="32"/>
      <w:lang w:bidi="hi-IN" w:eastAsia="zh-CN" w:val="ro"/>
    </w:rPr>
  </w:style>
  <w:style w:type="paragraph" w:styleId="Heading3">
    <w:name w:val="Heading 3"/>
    <w:basedOn w:val="Normal"/>
    <w:next w:val="LOnormal"/>
    <w:qFormat w:val="1"/>
    <w:pPr>
      <w:keepNext w:val="1"/>
      <w:keepLines w:val="1"/>
      <w:widowControl w:val="0"/>
      <w:bidi w:val="0"/>
      <w:spacing w:after="80" w:before="320"/>
      <w:jc w:val="left"/>
      <w:outlineLvl w:val="2"/>
    </w:pPr>
    <w:rPr>
      <w:rFonts w:ascii="Arial" w:cs="Arial" w:eastAsia="Arial" w:hAnsi="Arial"/>
      <w:color w:val="434343"/>
      <w:kern w:val="0"/>
      <w:sz w:val="28"/>
      <w:szCs w:val="28"/>
      <w:lang w:bidi="hi-IN" w:eastAsia="zh-CN" w:val="ro"/>
    </w:rPr>
  </w:style>
  <w:style w:type="paragraph" w:styleId="Heading4">
    <w:name w:val="Heading 4"/>
    <w:basedOn w:val="Normal"/>
    <w:next w:val="LOnormal"/>
    <w:qFormat w:val="1"/>
    <w:pPr>
      <w:keepNext w:val="1"/>
      <w:keepLines w:val="1"/>
      <w:widowControl w:val="0"/>
      <w:bidi w:val="0"/>
      <w:spacing w:after="80" w:before="280"/>
      <w:jc w:val="left"/>
      <w:outlineLvl w:val="3"/>
    </w:pPr>
    <w:rPr>
      <w:rFonts w:ascii="Arial" w:cs="Arial" w:eastAsia="Arial" w:hAnsi="Arial"/>
      <w:color w:val="666666"/>
      <w:kern w:val="0"/>
      <w:sz w:val="24"/>
      <w:szCs w:val="24"/>
      <w:lang w:bidi="hi-IN" w:eastAsia="zh-CN" w:val="ro"/>
    </w:rPr>
  </w:style>
  <w:style w:type="paragraph" w:styleId="Heading5">
    <w:name w:val="Heading 5"/>
    <w:basedOn w:val="Normal"/>
    <w:next w:val="LOnormal"/>
    <w:qFormat w:val="1"/>
    <w:pPr>
      <w:keepNext w:val="1"/>
      <w:keepLines w:val="1"/>
      <w:widowControl w:val="0"/>
      <w:bidi w:val="0"/>
      <w:spacing w:after="80" w:before="240"/>
      <w:jc w:val="left"/>
      <w:outlineLvl w:val="4"/>
    </w:pPr>
    <w:rPr>
      <w:rFonts w:ascii="Arial" w:cs="Arial" w:eastAsia="Arial" w:hAnsi="Arial"/>
      <w:color w:val="666666"/>
      <w:kern w:val="0"/>
      <w:sz w:val="22"/>
      <w:szCs w:val="22"/>
      <w:lang w:bidi="hi-IN" w:eastAsia="zh-CN" w:val="ro"/>
    </w:rPr>
  </w:style>
  <w:style w:type="paragraph" w:styleId="Heading6">
    <w:name w:val="Heading 6"/>
    <w:basedOn w:val="Normal"/>
    <w:next w:val="LOnormal"/>
    <w:qFormat w:val="1"/>
    <w:pPr>
      <w:keepNext w:val="1"/>
      <w:keepLines w:val="1"/>
      <w:widowControl w:val="0"/>
      <w:bidi w:val="0"/>
      <w:spacing w:after="80" w:before="240"/>
      <w:jc w:val="left"/>
      <w:outlineLvl w:val="5"/>
    </w:pPr>
    <w:rPr>
      <w:rFonts w:ascii="Arial" w:cs="Arial" w:eastAsia="Arial" w:hAnsi="Arial"/>
      <w:i w:val="1"/>
      <w:color w:val="666666"/>
      <w:kern w:val="0"/>
      <w:sz w:val="22"/>
      <w:szCs w:val="22"/>
      <w:lang w:bidi="hi-IN" w:eastAsia="zh-CN" w:val="ro"/>
    </w:rPr>
  </w:style>
  <w:style w:type="character" w:styleId="DefaultParagraphFont" w:default="1">
    <w:name w:val="Default Paragraph Font"/>
    <w:uiPriority w:val="1"/>
    <w:semiHidden w:val="1"/>
    <w:unhideWhenUsed w:val="1"/>
    <w:qFormat w:val="1"/>
    <w:rPr/>
  </w:style>
  <w:style w:type="character" w:styleId="BalloonTextChar" w:customStyle="1">
    <w:name w:val="Balloon Text Char"/>
    <w:basedOn w:val="DefaultParagraphFont"/>
    <w:link w:val="BalloonText"/>
    <w:uiPriority w:val="99"/>
    <w:semiHidden w:val="1"/>
    <w:qFormat w:val="1"/>
    <w:rsid w:val="0032048A"/>
    <w:rPr>
      <w:rFonts w:ascii="Segoe UI" w:cs="Segoe UI" w:hAnsi="Segoe UI"/>
      <w:sz w:val="18"/>
      <w:szCs w:val="18"/>
    </w:rPr>
  </w:style>
  <w:style w:type="character" w:styleId="ListLabel1" w:customStyle="1">
    <w:name w:val="ListLabel 1"/>
    <w:qFormat w:val="1"/>
    <w:rPr>
      <w:rFonts w:ascii="Times New Roman" w:hAnsi="Times New Roman"/>
      <w:sz w:val="24"/>
      <w:u w:val="none"/>
    </w:rPr>
  </w:style>
  <w:style w:type="character" w:styleId="ListLabel2" w:customStyle="1">
    <w:name w:val="ListLabel 2"/>
    <w:qFormat w:val="1"/>
    <w:rPr>
      <w:u w:val="none"/>
    </w:rPr>
  </w:style>
  <w:style w:type="character" w:styleId="ListLabel3" w:customStyle="1">
    <w:name w:val="ListLabel 3"/>
    <w:qFormat w:val="1"/>
    <w:rPr>
      <w:u w:val="none"/>
    </w:rPr>
  </w:style>
  <w:style w:type="character" w:styleId="ListLabel4" w:customStyle="1">
    <w:name w:val="ListLabel 4"/>
    <w:qFormat w:val="1"/>
    <w:rPr>
      <w:u w:val="none"/>
    </w:rPr>
  </w:style>
  <w:style w:type="character" w:styleId="ListLabel5" w:customStyle="1">
    <w:name w:val="ListLabel 5"/>
    <w:qFormat w:val="1"/>
    <w:rPr>
      <w:u w:val="none"/>
    </w:rPr>
  </w:style>
  <w:style w:type="character" w:styleId="ListLabel6" w:customStyle="1">
    <w:name w:val="ListLabel 6"/>
    <w:qFormat w:val="1"/>
    <w:rPr>
      <w:u w:val="none"/>
    </w:rPr>
  </w:style>
  <w:style w:type="character" w:styleId="ListLabel7" w:customStyle="1">
    <w:name w:val="ListLabel 7"/>
    <w:qFormat w:val="1"/>
    <w:rPr>
      <w:u w:val="none"/>
    </w:rPr>
  </w:style>
  <w:style w:type="character" w:styleId="ListLabel8" w:customStyle="1">
    <w:name w:val="ListLabel 8"/>
    <w:qFormat w:val="1"/>
    <w:rPr>
      <w:u w:val="none"/>
    </w:rPr>
  </w:style>
  <w:style w:type="character" w:styleId="ListLabel9" w:customStyle="1">
    <w:name w:val="ListLabel 9"/>
    <w:qFormat w:val="1"/>
    <w:rPr>
      <w:u w:val="none"/>
    </w:rPr>
  </w:style>
  <w:style w:type="character" w:styleId="ListLabel10" w:customStyle="1">
    <w:name w:val="ListLabel 10"/>
    <w:qFormat w:val="1"/>
    <w:rPr>
      <w:rFonts w:ascii="Times New Roman" w:cs="OpenSymbol" w:hAnsi="Times New Roman"/>
      <w:sz w:val="24"/>
      <w:u w:val="none"/>
    </w:rPr>
  </w:style>
  <w:style w:type="character" w:styleId="ListLabel11" w:customStyle="1">
    <w:name w:val="ListLabel 11"/>
    <w:qFormat w:val="1"/>
    <w:rPr>
      <w:rFonts w:cs="OpenSymbol"/>
      <w:u w:val="none"/>
    </w:rPr>
  </w:style>
  <w:style w:type="character" w:styleId="ListLabel12" w:customStyle="1">
    <w:name w:val="ListLabel 12"/>
    <w:qFormat w:val="1"/>
    <w:rPr>
      <w:rFonts w:cs="OpenSymbol"/>
      <w:u w:val="none"/>
    </w:rPr>
  </w:style>
  <w:style w:type="character" w:styleId="ListLabel13" w:customStyle="1">
    <w:name w:val="ListLabel 13"/>
    <w:qFormat w:val="1"/>
    <w:rPr>
      <w:rFonts w:cs="OpenSymbol"/>
      <w:u w:val="none"/>
    </w:rPr>
  </w:style>
  <w:style w:type="character" w:styleId="ListLabel14" w:customStyle="1">
    <w:name w:val="ListLabel 14"/>
    <w:qFormat w:val="1"/>
    <w:rPr>
      <w:rFonts w:cs="OpenSymbol"/>
      <w:u w:val="none"/>
    </w:rPr>
  </w:style>
  <w:style w:type="character" w:styleId="ListLabel15" w:customStyle="1">
    <w:name w:val="ListLabel 15"/>
    <w:qFormat w:val="1"/>
    <w:rPr>
      <w:rFonts w:cs="OpenSymbol"/>
      <w:u w:val="none"/>
    </w:rPr>
  </w:style>
  <w:style w:type="character" w:styleId="ListLabel16" w:customStyle="1">
    <w:name w:val="ListLabel 16"/>
    <w:qFormat w:val="1"/>
    <w:rPr>
      <w:rFonts w:cs="OpenSymbol"/>
      <w:u w:val="none"/>
    </w:rPr>
  </w:style>
  <w:style w:type="character" w:styleId="ListLabel17" w:customStyle="1">
    <w:name w:val="ListLabel 17"/>
    <w:qFormat w:val="1"/>
    <w:rPr>
      <w:rFonts w:cs="OpenSymbol"/>
      <w:u w:val="none"/>
    </w:rPr>
  </w:style>
  <w:style w:type="character" w:styleId="ListLabel18" w:customStyle="1">
    <w:name w:val="ListLabel 18"/>
    <w:qFormat w:val="1"/>
    <w:rPr>
      <w:rFonts w:cs="OpenSymbol"/>
      <w:u w:val="none"/>
    </w:rPr>
  </w:style>
  <w:style w:type="character" w:styleId="ListLabel19">
    <w:name w:val="ListLabel 19"/>
    <w:qFormat w:val="1"/>
    <w:rPr>
      <w:rFonts w:ascii="Times New Roman" w:hAnsi="Times New Roman"/>
      <w:sz w:val="24"/>
      <w:szCs w:val="24"/>
      <w:u w:val="none"/>
    </w:rPr>
  </w:style>
  <w:style w:type="character" w:styleId="ListLabel20">
    <w:name w:val="ListLabel 20"/>
    <w:qFormat w:val="1"/>
    <w:rPr>
      <w:u w:val="none"/>
    </w:rPr>
  </w:style>
  <w:style w:type="character" w:styleId="ListLabel21">
    <w:name w:val="ListLabel 21"/>
    <w:qFormat w:val="1"/>
    <w:rPr>
      <w:u w:val="none"/>
    </w:rPr>
  </w:style>
  <w:style w:type="character" w:styleId="ListLabel22">
    <w:name w:val="ListLabel 22"/>
    <w:qFormat w:val="1"/>
    <w:rPr>
      <w:u w:val="none"/>
    </w:rPr>
  </w:style>
  <w:style w:type="character" w:styleId="ListLabel23">
    <w:name w:val="ListLabel 23"/>
    <w:qFormat w:val="1"/>
    <w:rPr>
      <w:u w:val="none"/>
    </w:rPr>
  </w:style>
  <w:style w:type="character" w:styleId="ListLabel24">
    <w:name w:val="ListLabel 24"/>
    <w:qFormat w:val="1"/>
    <w:rPr>
      <w:u w:val="none"/>
    </w:rPr>
  </w:style>
  <w:style w:type="character" w:styleId="ListLabel25">
    <w:name w:val="ListLabel 25"/>
    <w:qFormat w:val="1"/>
    <w:rPr>
      <w:u w:val="none"/>
    </w:rPr>
  </w:style>
  <w:style w:type="character" w:styleId="ListLabel26">
    <w:name w:val="ListLabel 26"/>
    <w:qFormat w:val="1"/>
    <w:rPr>
      <w:u w:val="none"/>
    </w:rPr>
  </w:style>
  <w:style w:type="character" w:styleId="ListLabel27">
    <w:name w:val="ListLabel 27"/>
    <w:qFormat w:val="1"/>
    <w:rPr>
      <w:u w:val="none"/>
    </w:rPr>
  </w:style>
  <w:style w:type="character" w:styleId="ListLabel28">
    <w:name w:val="ListLabel 28"/>
    <w:qFormat w:val="1"/>
    <w:rPr>
      <w:rFonts w:ascii="Times New Roman" w:cs="OpenSymbol" w:hAnsi="Times New Roman"/>
      <w:sz w:val="24"/>
      <w:szCs w:val="24"/>
      <w:u w:val="none"/>
    </w:rPr>
  </w:style>
  <w:style w:type="character" w:styleId="ListLabel29">
    <w:name w:val="ListLabel 29"/>
    <w:qFormat w:val="1"/>
    <w:rPr>
      <w:rFonts w:cs="OpenSymbol"/>
      <w:u w:val="none"/>
    </w:rPr>
  </w:style>
  <w:style w:type="character" w:styleId="ListLabel30">
    <w:name w:val="ListLabel 30"/>
    <w:qFormat w:val="1"/>
    <w:rPr>
      <w:rFonts w:cs="OpenSymbol"/>
      <w:u w:val="none"/>
    </w:rPr>
  </w:style>
  <w:style w:type="character" w:styleId="ListLabel31">
    <w:name w:val="ListLabel 31"/>
    <w:qFormat w:val="1"/>
    <w:rPr>
      <w:rFonts w:cs="OpenSymbol"/>
      <w:u w:val="none"/>
    </w:rPr>
  </w:style>
  <w:style w:type="character" w:styleId="ListLabel32">
    <w:name w:val="ListLabel 32"/>
    <w:qFormat w:val="1"/>
    <w:rPr>
      <w:rFonts w:cs="OpenSymbol"/>
      <w:u w:val="none"/>
    </w:rPr>
  </w:style>
  <w:style w:type="character" w:styleId="ListLabel33">
    <w:name w:val="ListLabel 33"/>
    <w:qFormat w:val="1"/>
    <w:rPr>
      <w:rFonts w:cs="OpenSymbol"/>
      <w:u w:val="none"/>
    </w:rPr>
  </w:style>
  <w:style w:type="character" w:styleId="ListLabel34">
    <w:name w:val="ListLabel 34"/>
    <w:qFormat w:val="1"/>
    <w:rPr>
      <w:rFonts w:cs="OpenSymbol"/>
      <w:u w:val="none"/>
    </w:rPr>
  </w:style>
  <w:style w:type="character" w:styleId="ListLabel35">
    <w:name w:val="ListLabel 35"/>
    <w:qFormat w:val="1"/>
    <w:rPr>
      <w:rFonts w:cs="OpenSymbol"/>
      <w:u w:val="none"/>
    </w:rPr>
  </w:style>
  <w:style w:type="character" w:styleId="ListLabel36">
    <w:name w:val="ListLabel 36"/>
    <w:qFormat w:val="1"/>
    <w:rPr>
      <w:rFonts w:cs="OpenSymbol"/>
      <w:u w:val="none"/>
    </w:rPr>
  </w:style>
  <w:style w:type="character" w:styleId="ListLabel37">
    <w:name w:val="ListLabel 37"/>
    <w:qFormat w:val="1"/>
    <w:rPr>
      <w:rFonts w:ascii="Times New Roman" w:cs="OpenSymbol" w:hAnsi="Times New Roman"/>
      <w:sz w:val="24"/>
      <w:szCs w:val="24"/>
      <w:u w:val="none"/>
    </w:rPr>
  </w:style>
  <w:style w:type="character" w:styleId="ListLabel38">
    <w:name w:val="ListLabel 38"/>
    <w:qFormat w:val="1"/>
    <w:rPr>
      <w:rFonts w:cs="OpenSymbol"/>
      <w:u w:val="none"/>
    </w:rPr>
  </w:style>
  <w:style w:type="character" w:styleId="ListLabel39">
    <w:name w:val="ListLabel 39"/>
    <w:qFormat w:val="1"/>
    <w:rPr>
      <w:rFonts w:cs="OpenSymbol"/>
      <w:u w:val="none"/>
    </w:rPr>
  </w:style>
  <w:style w:type="character" w:styleId="ListLabel40">
    <w:name w:val="ListLabel 40"/>
    <w:qFormat w:val="1"/>
    <w:rPr>
      <w:rFonts w:cs="OpenSymbol"/>
      <w:u w:val="none"/>
    </w:rPr>
  </w:style>
  <w:style w:type="character" w:styleId="ListLabel41">
    <w:name w:val="ListLabel 41"/>
    <w:qFormat w:val="1"/>
    <w:rPr>
      <w:rFonts w:cs="OpenSymbol"/>
      <w:u w:val="none"/>
    </w:rPr>
  </w:style>
  <w:style w:type="character" w:styleId="ListLabel42">
    <w:name w:val="ListLabel 42"/>
    <w:qFormat w:val="1"/>
    <w:rPr>
      <w:rFonts w:cs="OpenSymbol"/>
      <w:u w:val="none"/>
    </w:rPr>
  </w:style>
  <w:style w:type="character" w:styleId="ListLabel43">
    <w:name w:val="ListLabel 43"/>
    <w:qFormat w:val="1"/>
    <w:rPr>
      <w:rFonts w:cs="OpenSymbol"/>
      <w:u w:val="none"/>
    </w:rPr>
  </w:style>
  <w:style w:type="character" w:styleId="ListLabel44">
    <w:name w:val="ListLabel 44"/>
    <w:qFormat w:val="1"/>
    <w:rPr>
      <w:rFonts w:cs="OpenSymbol"/>
      <w:u w:val="none"/>
    </w:rPr>
  </w:style>
  <w:style w:type="character" w:styleId="ListLabel45">
    <w:name w:val="ListLabel 45"/>
    <w:qFormat w:val="1"/>
    <w:rPr>
      <w:rFonts w:cs="OpenSymbol"/>
      <w:u w:val="none"/>
    </w:rPr>
  </w:style>
  <w:style w:type="paragraph" w:styleId="Heading" w:customStyle="1">
    <w:name w:val="Heading"/>
    <w:basedOn w:val="Normal"/>
    <w:next w:val="TextBody"/>
    <w:qFormat w:val="1"/>
    <w:pPr>
      <w:keepNext w:val="1"/>
      <w:widowControl w:val="0"/>
      <w:bidi w:val="0"/>
      <w:spacing w:after="120" w:before="240"/>
      <w:jc w:val="left"/>
    </w:pPr>
    <w:rPr>
      <w:rFonts w:ascii="Liberation Sans" w:cs="Arial" w:eastAsia="Microsoft YaHei" w:hAnsi="Liberation Sans"/>
      <w:color w:val="auto"/>
      <w:kern w:val="0"/>
      <w:sz w:val="28"/>
      <w:szCs w:val="28"/>
      <w:lang w:bidi="hi-IN" w:eastAsia="zh-CN" w:val="ro"/>
    </w:rPr>
  </w:style>
  <w:style w:type="paragraph" w:styleId="TextBody">
    <w:name w:val="Body Text"/>
    <w:basedOn w:val="Normal"/>
    <w:pPr>
      <w:widowControl w:val="0"/>
      <w:bidi w:val="0"/>
      <w:spacing w:after="140" w:before="0"/>
      <w:jc w:val="left"/>
    </w:pPr>
    <w:rPr>
      <w:rFonts w:ascii="Arial" w:cs="Arial" w:eastAsia="Arial" w:hAnsi="Arial"/>
      <w:color w:val="auto"/>
      <w:kern w:val="0"/>
      <w:sz w:val="22"/>
      <w:szCs w:val="22"/>
      <w:lang w:bidi="hi-IN" w:eastAsia="zh-CN" w:val="ro"/>
    </w:rPr>
  </w:style>
  <w:style w:type="paragraph" w:styleId="List">
    <w:name w:val="List"/>
    <w:basedOn w:val="TextBody"/>
    <w:pPr/>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customStyle="1">
    <w:name w:val="Index"/>
    <w:basedOn w:val="Normal"/>
    <w:qFormat w:val="1"/>
    <w:pPr>
      <w:widowControl w:val="0"/>
      <w:suppressLineNumbers w:val="1"/>
      <w:bidi w:val="0"/>
      <w:jc w:val="left"/>
    </w:pPr>
    <w:rPr>
      <w:rFonts w:ascii="Arial" w:cs="Arial" w:eastAsia="Arial" w:hAnsi="Arial"/>
      <w:color w:val="auto"/>
      <w:kern w:val="0"/>
      <w:sz w:val="22"/>
      <w:szCs w:val="22"/>
      <w:lang w:bidi="hi-IN" w:eastAsia="zh-CN" w:val="ro"/>
    </w:rPr>
  </w:style>
  <w:style w:type="paragraph" w:styleId="LOnormal" w:default="1">
    <w:name w:val="LO-normal"/>
    <w:qFormat w:val="1"/>
    <w:pPr>
      <w:widowControl w:val="1"/>
      <w:bidi w:val="0"/>
      <w:jc w:val="left"/>
    </w:pPr>
    <w:rPr>
      <w:rFonts w:ascii="Arial" w:cs="Arial" w:eastAsia="Arial" w:hAnsi="Arial"/>
      <w:color w:val="auto"/>
      <w:kern w:val="0"/>
      <w:sz w:val="22"/>
      <w:szCs w:val="22"/>
      <w:lang w:bidi="hi-IN" w:eastAsia="zh-CN" w:val="ro"/>
    </w:rPr>
  </w:style>
  <w:style w:type="paragraph" w:styleId="Title">
    <w:name w:val="Title"/>
    <w:basedOn w:val="LOnormal"/>
    <w:next w:val="LOnormal"/>
    <w:qFormat w:val="1"/>
    <w:pPr>
      <w:keepNext w:val="1"/>
      <w:keepLines w:val="1"/>
      <w:spacing w:after="60" w:before="0"/>
    </w:pPr>
    <w:rPr>
      <w:sz w:val="52"/>
      <w:szCs w:val="52"/>
    </w:rPr>
  </w:style>
  <w:style w:type="paragraph" w:styleId="Caption1">
    <w:name w:val="caption"/>
    <w:basedOn w:val="LOnormal"/>
    <w:qFormat w:val="1"/>
    <w:pPr>
      <w:suppressLineNumbers w:val="1"/>
      <w:spacing w:after="120" w:before="120"/>
    </w:pPr>
    <w:rPr>
      <w:i w:val="1"/>
      <w:iCs w:val="1"/>
      <w:sz w:val="24"/>
      <w:szCs w:val="24"/>
    </w:rPr>
  </w:style>
  <w:style w:type="paragraph" w:styleId="Subtitle">
    <w:name w:val="Subtitle"/>
    <w:basedOn w:val="LOnormal"/>
    <w:next w:val="LOnormal"/>
    <w:qFormat w:val="1"/>
    <w:pPr>
      <w:keepNext w:val="1"/>
      <w:keepLines w:val="1"/>
      <w:spacing w:after="320" w:before="0" w:line="240" w:lineRule="auto"/>
    </w:pPr>
    <w:rPr>
      <w:color w:val="666666"/>
      <w:sz w:val="30"/>
      <w:szCs w:val="30"/>
    </w:rPr>
  </w:style>
  <w:style w:type="paragraph" w:styleId="BalloonText">
    <w:name w:val="Balloon Text"/>
    <w:basedOn w:val="LOnormal"/>
    <w:link w:val="BalloonTextChar"/>
    <w:uiPriority w:val="99"/>
    <w:semiHidden w:val="1"/>
    <w:unhideWhenUsed w:val="1"/>
    <w:qFormat w:val="1"/>
    <w:rsid w:val="0032048A"/>
    <w:pPr>
      <w:spacing w:line="240" w:lineRule="auto"/>
    </w:pPr>
    <w:rPr>
      <w:rFonts w:ascii="Segoe UI" w:cs="Segoe UI" w:hAnsi="Segoe UI"/>
      <w:sz w:val="18"/>
      <w:szCs w:val="18"/>
    </w:rPr>
  </w:style>
  <w:style w:type="paragraph" w:styleId="Footer">
    <w:name w:val="Footer"/>
    <w:basedOn w:val="LOnormal"/>
    <w:pPr/>
    <w:rPr/>
  </w:style>
  <w:style w:type="paragraph" w:styleId="Header">
    <w:name w:val="Header"/>
    <w:basedOn w:val="Normal"/>
    <w:pPr/>
    <w:rPr/>
  </w:style>
  <w:style w:type="numbering" w:styleId="NoList" w:default="1">
    <w:name w:val="No List"/>
    <w:uiPriority w:val="99"/>
    <w:semiHidden w:val="1"/>
    <w:unhideWhenUsed w:val="1"/>
    <w:qFormat w:val="1"/>
  </w:style>
  <w:style w:type="table" w:styleId="TableNormal" w:default="1">
    <w:name w:val="Table Normal"/>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320" w:before="0" w:line="24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4vd93gFjJZTS4yQIG0Kz2kVzYg==">AMUW2mVIvqWXo9e+k4xlxvKM3dUgWBN3bNjyjeH1/cbl4vTwCzGjeL5MjMPZmULoQUWH0YeNpspV0cQmRYwO4mv5dzv4/hST9evo6+KACOmu4x3anZl2iQ7Pizs25HFkbMudBbGr2fiL/hOOmHXviwcxkwnZTOZtag==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2023-03-07T14:00:00Z</dcterms:created>
  <dc:creator>MARILENA-MARINA ENESCU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