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1B84" w14:textId="77777777" w:rsidR="006B5B76" w:rsidRPr="0085705A" w:rsidRDefault="006B5B76" w:rsidP="00BE2B6D">
      <w:pPr>
        <w:jc w:val="right"/>
        <w:rPr>
          <w:rFonts w:ascii="Trebuchet MS" w:hAnsi="Trebuchet MS"/>
          <w:b/>
          <w:bCs/>
          <w:sz w:val="22"/>
          <w:szCs w:val="22"/>
        </w:rPr>
      </w:pPr>
    </w:p>
    <w:p w14:paraId="7B7353F1" w14:textId="378C3CA7" w:rsidR="00BE2B6D" w:rsidRPr="0085705A" w:rsidRDefault="00BE2B6D" w:rsidP="00BE2B6D">
      <w:pPr>
        <w:jc w:val="right"/>
        <w:rPr>
          <w:rFonts w:ascii="Trebuchet MS" w:hAnsi="Trebuchet MS"/>
          <w:b/>
          <w:bCs/>
          <w:sz w:val="22"/>
          <w:szCs w:val="22"/>
        </w:rPr>
      </w:pPr>
      <w:r w:rsidRPr="0085705A">
        <w:rPr>
          <w:rFonts w:ascii="Trebuchet MS" w:hAnsi="Trebuchet MS"/>
          <w:b/>
          <w:bCs/>
          <w:sz w:val="22"/>
          <w:szCs w:val="22"/>
        </w:rPr>
        <w:t xml:space="preserve">ANEXA </w:t>
      </w:r>
      <w:r w:rsidR="00350FF6">
        <w:rPr>
          <w:rFonts w:ascii="Trebuchet MS" w:hAnsi="Trebuchet MS"/>
          <w:b/>
          <w:bCs/>
          <w:sz w:val="22"/>
          <w:szCs w:val="22"/>
        </w:rPr>
        <w:t>8</w:t>
      </w:r>
    </w:p>
    <w:p w14:paraId="12683F36" w14:textId="77777777" w:rsidR="00BE2B6D" w:rsidRPr="0085705A" w:rsidRDefault="00BE2B6D" w:rsidP="00BE2B6D">
      <w:pPr>
        <w:spacing w:line="276" w:lineRule="auto"/>
        <w:jc w:val="center"/>
        <w:rPr>
          <w:rFonts w:ascii="Trebuchet MS" w:hAnsi="Trebuchet MS"/>
          <w:b/>
          <w:bCs/>
          <w:sz w:val="22"/>
          <w:szCs w:val="22"/>
        </w:rPr>
      </w:pPr>
    </w:p>
    <w:p w14:paraId="332FB613" w14:textId="77777777" w:rsidR="0085705A" w:rsidRPr="0085705A" w:rsidRDefault="0085705A" w:rsidP="0085705A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sz w:val="22"/>
          <w:szCs w:val="22"/>
        </w:rPr>
      </w:pPr>
      <w:r w:rsidRPr="0085705A">
        <w:rPr>
          <w:rFonts w:ascii="Trebuchet MS" w:hAnsi="Trebuchet MS"/>
          <w:b/>
          <w:bCs/>
          <w:sz w:val="22"/>
          <w:szCs w:val="22"/>
        </w:rPr>
        <w:t>Declaraţia privind aplicarea principiului</w:t>
      </w:r>
    </w:p>
    <w:p w14:paraId="4868C1C1" w14:textId="77777777" w:rsidR="0085705A" w:rsidRPr="0085705A" w:rsidRDefault="0085705A" w:rsidP="0085705A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sz w:val="22"/>
          <w:szCs w:val="22"/>
        </w:rPr>
      </w:pPr>
      <w:r w:rsidRPr="0085705A">
        <w:rPr>
          <w:rFonts w:ascii="Trebuchet MS" w:hAnsi="Trebuchet MS"/>
          <w:b/>
          <w:bCs/>
          <w:sz w:val="22"/>
          <w:szCs w:val="22"/>
        </w:rPr>
        <w:t>DNSH („Do no significant harm” – „A nu aduce prejudicii asupra mediului”)</w:t>
      </w:r>
    </w:p>
    <w:p w14:paraId="75DDF48F" w14:textId="77777777" w:rsidR="0085705A" w:rsidRPr="0085705A" w:rsidRDefault="0085705A" w:rsidP="0085705A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sz w:val="22"/>
          <w:szCs w:val="22"/>
        </w:rPr>
      </w:pPr>
      <w:r w:rsidRPr="0085705A">
        <w:rPr>
          <w:rFonts w:ascii="Trebuchet MS" w:hAnsi="Trebuchet MS"/>
          <w:b/>
          <w:bCs/>
          <w:sz w:val="22"/>
          <w:szCs w:val="22"/>
        </w:rPr>
        <w:t>Acest model se va completa de către reprezentantul legal al solicitantului</w:t>
      </w:r>
    </w:p>
    <w:p w14:paraId="7A3251DD" w14:textId="77777777" w:rsidR="0085705A" w:rsidRDefault="0085705A" w:rsidP="0085705A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14:paraId="1D75FC1E" w14:textId="47C6C514" w:rsidR="0085705A" w:rsidRPr="0085705A" w:rsidRDefault="0085705A" w:rsidP="0085705A">
      <w:pPr>
        <w:autoSpaceDE w:val="0"/>
        <w:autoSpaceDN w:val="0"/>
        <w:adjustRightInd w:val="0"/>
        <w:ind w:firstLine="720"/>
        <w:jc w:val="both"/>
        <w:rPr>
          <w:rFonts w:ascii="Trebuchet MS" w:hAnsi="Trebuchet MS"/>
          <w:sz w:val="22"/>
          <w:szCs w:val="22"/>
        </w:rPr>
      </w:pPr>
      <w:r w:rsidRPr="0085705A">
        <w:rPr>
          <w:rFonts w:ascii="Trebuchet MS" w:hAnsi="Trebuchet MS"/>
          <w:sz w:val="22"/>
          <w:szCs w:val="22"/>
        </w:rPr>
        <w:t>Declar că fiecare componentă inclusă în cererea de finanțare respectă obligațiile prevăzute în PNRR</w:t>
      </w:r>
      <w:r>
        <w:rPr>
          <w:rFonts w:ascii="Trebuchet MS" w:hAnsi="Trebuchet MS"/>
          <w:sz w:val="22"/>
          <w:szCs w:val="22"/>
        </w:rPr>
        <w:t xml:space="preserve"> </w:t>
      </w:r>
      <w:r w:rsidRPr="0085705A">
        <w:rPr>
          <w:rFonts w:ascii="Trebuchet MS" w:hAnsi="Trebuchet MS"/>
          <w:sz w:val="22"/>
          <w:szCs w:val="22"/>
        </w:rPr>
        <w:t>pentru implementarea principiului de „a nu prejudicia în mod semnificativ” (DNSH – „Do No Significant</w:t>
      </w:r>
      <w:r>
        <w:rPr>
          <w:rFonts w:ascii="Trebuchet MS" w:hAnsi="Trebuchet MS"/>
          <w:sz w:val="22"/>
          <w:szCs w:val="22"/>
        </w:rPr>
        <w:t xml:space="preserve"> </w:t>
      </w:r>
      <w:r w:rsidRPr="0085705A">
        <w:rPr>
          <w:rFonts w:ascii="Trebuchet MS" w:hAnsi="Trebuchet MS"/>
          <w:sz w:val="22"/>
          <w:szCs w:val="22"/>
        </w:rPr>
        <w:t>Harm”), prevăzute în Comunicarea Comisiei Orientări tehnice privind aplicarea principiului de „a nu</w:t>
      </w:r>
      <w:r>
        <w:rPr>
          <w:rFonts w:ascii="Trebuchet MS" w:hAnsi="Trebuchet MS"/>
          <w:sz w:val="22"/>
          <w:szCs w:val="22"/>
        </w:rPr>
        <w:t xml:space="preserve"> </w:t>
      </w:r>
      <w:r w:rsidRPr="0085705A">
        <w:rPr>
          <w:rFonts w:ascii="Trebuchet MS" w:hAnsi="Trebuchet MS"/>
          <w:sz w:val="22"/>
          <w:szCs w:val="22"/>
        </w:rPr>
        <w:t>prejudicia în mod semnificativ” în temeiul Regulamentului privind Mecanismul de redresare și</w:t>
      </w:r>
      <w:r>
        <w:rPr>
          <w:rFonts w:ascii="Trebuchet MS" w:hAnsi="Trebuchet MS"/>
          <w:sz w:val="22"/>
          <w:szCs w:val="22"/>
        </w:rPr>
        <w:t xml:space="preserve"> </w:t>
      </w:r>
      <w:r w:rsidRPr="0085705A">
        <w:rPr>
          <w:rFonts w:ascii="Trebuchet MS" w:hAnsi="Trebuchet MS"/>
          <w:sz w:val="22"/>
          <w:szCs w:val="22"/>
        </w:rPr>
        <w:t>reziliență (2021/C 58/01).</w:t>
      </w:r>
    </w:p>
    <w:p w14:paraId="5DBFEAED" w14:textId="4395212D" w:rsidR="0085705A" w:rsidRPr="0085705A" w:rsidRDefault="0085705A" w:rsidP="0085705A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85705A">
        <w:rPr>
          <w:rFonts w:ascii="Trebuchet MS" w:hAnsi="Trebuchet MS"/>
          <w:sz w:val="22"/>
          <w:szCs w:val="22"/>
        </w:rPr>
        <w:t>În sensul Regulamentului privind Mecanismul de redresare și reziliență, principiul DNSH trebuie</w:t>
      </w:r>
      <w:r>
        <w:rPr>
          <w:rFonts w:ascii="Trebuchet MS" w:hAnsi="Trebuchet MS"/>
          <w:sz w:val="22"/>
          <w:szCs w:val="22"/>
        </w:rPr>
        <w:t xml:space="preserve"> </w:t>
      </w:r>
      <w:r w:rsidRPr="0085705A">
        <w:rPr>
          <w:rFonts w:ascii="Trebuchet MS" w:hAnsi="Trebuchet MS"/>
          <w:sz w:val="22"/>
          <w:szCs w:val="22"/>
        </w:rPr>
        <w:t>interpretat în sensul articolului 17 din Regulamentul (UE) 2020/852 privind instituirea unui cadru care</w:t>
      </w:r>
      <w:r>
        <w:rPr>
          <w:rFonts w:ascii="Trebuchet MS" w:hAnsi="Trebuchet MS"/>
          <w:sz w:val="22"/>
          <w:szCs w:val="22"/>
        </w:rPr>
        <w:t xml:space="preserve"> </w:t>
      </w:r>
      <w:r w:rsidRPr="0085705A">
        <w:rPr>
          <w:rFonts w:ascii="Trebuchet MS" w:hAnsi="Trebuchet MS"/>
          <w:sz w:val="22"/>
          <w:szCs w:val="22"/>
        </w:rPr>
        <w:t>sa faciliteze investițiile durabile, prin crearea unui sistem de clasificare (sau „taxonomie”) pentru</w:t>
      </w:r>
      <w:r>
        <w:rPr>
          <w:rFonts w:ascii="Trebuchet MS" w:hAnsi="Trebuchet MS"/>
          <w:sz w:val="22"/>
          <w:szCs w:val="22"/>
        </w:rPr>
        <w:t xml:space="preserve"> </w:t>
      </w:r>
      <w:r w:rsidRPr="0085705A">
        <w:rPr>
          <w:rFonts w:ascii="Trebuchet MS" w:hAnsi="Trebuchet MS"/>
          <w:sz w:val="22"/>
          <w:szCs w:val="22"/>
        </w:rPr>
        <w:t>activita.ile economice durabile din punctul de vedere al mediului. Respectivul articol definește</w:t>
      </w:r>
      <w:r>
        <w:rPr>
          <w:rFonts w:ascii="Trebuchet MS" w:hAnsi="Trebuchet MS"/>
          <w:sz w:val="22"/>
          <w:szCs w:val="22"/>
        </w:rPr>
        <w:t xml:space="preserve"> </w:t>
      </w:r>
      <w:r w:rsidRPr="0085705A">
        <w:rPr>
          <w:rFonts w:ascii="Trebuchet MS" w:hAnsi="Trebuchet MS"/>
          <w:sz w:val="22"/>
          <w:szCs w:val="22"/>
        </w:rPr>
        <w:t>noțiunea de „prejudiciere în mod semnificativ” pentru cele șase obiective de mediu vizate de</w:t>
      </w:r>
      <w:r>
        <w:rPr>
          <w:rFonts w:ascii="Trebuchet MS" w:hAnsi="Trebuchet MS"/>
          <w:sz w:val="22"/>
          <w:szCs w:val="22"/>
        </w:rPr>
        <w:t xml:space="preserve"> </w:t>
      </w:r>
      <w:r w:rsidRPr="0085705A">
        <w:rPr>
          <w:rFonts w:ascii="Trebuchet MS" w:hAnsi="Trebuchet MS"/>
          <w:sz w:val="22"/>
          <w:szCs w:val="22"/>
        </w:rPr>
        <w:t>Regulamentul privind taxonomia:</w:t>
      </w:r>
    </w:p>
    <w:p w14:paraId="0CECD5C0" w14:textId="21BD698B" w:rsidR="0085705A" w:rsidRPr="0085705A" w:rsidRDefault="0085705A" w:rsidP="0085705A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85705A">
        <w:rPr>
          <w:rFonts w:ascii="Trebuchet MS" w:hAnsi="Trebuchet MS"/>
          <w:sz w:val="22"/>
          <w:szCs w:val="22"/>
        </w:rPr>
        <w:t>1. Se consideră că o activitate prejudiciază în mod semnificativ atenuarea schimbărilor climatice în</w:t>
      </w:r>
      <w:r>
        <w:rPr>
          <w:rFonts w:ascii="Trebuchet MS" w:hAnsi="Trebuchet MS"/>
          <w:sz w:val="22"/>
          <w:szCs w:val="22"/>
        </w:rPr>
        <w:t xml:space="preserve"> </w:t>
      </w:r>
      <w:r w:rsidRPr="0085705A">
        <w:rPr>
          <w:rFonts w:ascii="Trebuchet MS" w:hAnsi="Trebuchet MS"/>
          <w:sz w:val="22"/>
          <w:szCs w:val="22"/>
        </w:rPr>
        <w:t>cazul în care activitatea respectivă generează emisii semnificative de gaze cu efect de seră (GES);</w:t>
      </w:r>
    </w:p>
    <w:p w14:paraId="5B6E9710" w14:textId="6A2A7C0D" w:rsidR="0085705A" w:rsidRPr="0085705A" w:rsidRDefault="0085705A" w:rsidP="0085705A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85705A">
        <w:rPr>
          <w:rFonts w:ascii="Trebuchet MS" w:hAnsi="Trebuchet MS"/>
          <w:sz w:val="22"/>
          <w:szCs w:val="22"/>
        </w:rPr>
        <w:t>2. Se consideră că o activitate prejudiciază în mod semnificativ adaptarea la schimbările climatice în</w:t>
      </w:r>
      <w:r>
        <w:rPr>
          <w:rFonts w:ascii="Trebuchet MS" w:hAnsi="Trebuchet MS"/>
          <w:sz w:val="22"/>
          <w:szCs w:val="22"/>
        </w:rPr>
        <w:t xml:space="preserve"> </w:t>
      </w:r>
      <w:r w:rsidRPr="0085705A">
        <w:rPr>
          <w:rFonts w:ascii="Trebuchet MS" w:hAnsi="Trebuchet MS"/>
          <w:sz w:val="22"/>
          <w:szCs w:val="22"/>
        </w:rPr>
        <w:t>cazul în care activitatea respectivă duce la creșterea efectului negativ al climatului actual și al</w:t>
      </w:r>
      <w:r>
        <w:rPr>
          <w:rFonts w:ascii="Trebuchet MS" w:hAnsi="Trebuchet MS"/>
          <w:sz w:val="22"/>
          <w:szCs w:val="22"/>
        </w:rPr>
        <w:t xml:space="preserve"> </w:t>
      </w:r>
      <w:r w:rsidRPr="0085705A">
        <w:rPr>
          <w:rFonts w:ascii="Trebuchet MS" w:hAnsi="Trebuchet MS"/>
          <w:sz w:val="22"/>
          <w:szCs w:val="22"/>
        </w:rPr>
        <w:t>climatului preconizat în viitor asupra activității în sine sau asupra persoanelor, asupra naturii sau</w:t>
      </w:r>
      <w:r>
        <w:rPr>
          <w:rFonts w:ascii="Trebuchet MS" w:hAnsi="Trebuchet MS"/>
          <w:sz w:val="22"/>
          <w:szCs w:val="22"/>
        </w:rPr>
        <w:t xml:space="preserve"> </w:t>
      </w:r>
      <w:r w:rsidRPr="0085705A">
        <w:rPr>
          <w:rFonts w:ascii="Trebuchet MS" w:hAnsi="Trebuchet MS"/>
          <w:sz w:val="22"/>
          <w:szCs w:val="22"/>
        </w:rPr>
        <w:t>asupra activelor (6);</w:t>
      </w:r>
    </w:p>
    <w:p w14:paraId="64DF8510" w14:textId="67C4B8DE" w:rsidR="0085705A" w:rsidRPr="0085705A" w:rsidRDefault="0085705A" w:rsidP="0085705A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85705A">
        <w:rPr>
          <w:rFonts w:ascii="Trebuchet MS" w:hAnsi="Trebuchet MS"/>
          <w:sz w:val="22"/>
          <w:szCs w:val="22"/>
        </w:rPr>
        <w:t>3. Se consideră că o activitate prejudiciază în mod semnificativ utilizarea durabilă și protejarea</w:t>
      </w:r>
      <w:r>
        <w:rPr>
          <w:rFonts w:ascii="Trebuchet MS" w:hAnsi="Trebuchet MS"/>
          <w:sz w:val="22"/>
          <w:szCs w:val="22"/>
        </w:rPr>
        <w:t xml:space="preserve"> </w:t>
      </w:r>
      <w:r w:rsidRPr="0085705A">
        <w:rPr>
          <w:rFonts w:ascii="Trebuchet MS" w:hAnsi="Trebuchet MS"/>
          <w:sz w:val="22"/>
          <w:szCs w:val="22"/>
        </w:rPr>
        <w:t>resurselor de apă și a celor marine în cazul în care activitatea respectivă este nocivă pentru starea</w:t>
      </w:r>
      <w:r>
        <w:rPr>
          <w:rFonts w:ascii="Trebuchet MS" w:hAnsi="Trebuchet MS"/>
          <w:sz w:val="22"/>
          <w:szCs w:val="22"/>
        </w:rPr>
        <w:t xml:space="preserve"> </w:t>
      </w:r>
      <w:r w:rsidRPr="0085705A">
        <w:rPr>
          <w:rFonts w:ascii="Trebuchet MS" w:hAnsi="Trebuchet MS"/>
          <w:sz w:val="22"/>
          <w:szCs w:val="22"/>
        </w:rPr>
        <w:t>bună sau pentru potențialul ecologic bun al corpurilor de apă, inclusiv al apelor de suprafață și</w:t>
      </w:r>
      <w:r>
        <w:rPr>
          <w:rFonts w:ascii="Trebuchet MS" w:hAnsi="Trebuchet MS"/>
          <w:sz w:val="22"/>
          <w:szCs w:val="22"/>
        </w:rPr>
        <w:t xml:space="preserve"> </w:t>
      </w:r>
      <w:r w:rsidRPr="0085705A">
        <w:rPr>
          <w:rFonts w:ascii="Trebuchet MS" w:hAnsi="Trebuchet MS"/>
          <w:sz w:val="22"/>
          <w:szCs w:val="22"/>
        </w:rPr>
        <w:t>subterane, sau starea ecologică bună a apelor marine;</w:t>
      </w:r>
    </w:p>
    <w:p w14:paraId="75291F60" w14:textId="2FE3B5E4" w:rsidR="0085705A" w:rsidRPr="0085705A" w:rsidRDefault="0085705A" w:rsidP="0085705A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85705A">
        <w:rPr>
          <w:rFonts w:ascii="Trebuchet MS" w:hAnsi="Trebuchet MS"/>
          <w:sz w:val="22"/>
          <w:szCs w:val="22"/>
        </w:rPr>
        <w:t>4. Se consideră că o activitate prejudiciază în mod semnificativ economia circulară, inclusiv prevenirea</w:t>
      </w:r>
      <w:r>
        <w:rPr>
          <w:rFonts w:ascii="Trebuchet MS" w:hAnsi="Trebuchet MS"/>
          <w:sz w:val="22"/>
          <w:szCs w:val="22"/>
        </w:rPr>
        <w:t xml:space="preserve"> </w:t>
      </w:r>
      <w:r w:rsidRPr="0085705A">
        <w:rPr>
          <w:rFonts w:ascii="Trebuchet MS" w:hAnsi="Trebuchet MS"/>
          <w:sz w:val="22"/>
          <w:szCs w:val="22"/>
        </w:rPr>
        <w:t>generării de deșeuri și reciclarea acestora, în cazul în care activitatea respectivă duce la ineficiențe</w:t>
      </w:r>
      <w:r>
        <w:rPr>
          <w:rFonts w:ascii="Trebuchet MS" w:hAnsi="Trebuchet MS"/>
          <w:sz w:val="22"/>
          <w:szCs w:val="22"/>
        </w:rPr>
        <w:t xml:space="preserve"> </w:t>
      </w:r>
      <w:r w:rsidRPr="0085705A">
        <w:rPr>
          <w:rFonts w:ascii="Trebuchet MS" w:hAnsi="Trebuchet MS"/>
          <w:sz w:val="22"/>
          <w:szCs w:val="22"/>
        </w:rPr>
        <w:t>semnificative în utilizarea materialelor sau în utilizarea directă sau indirectă a resurselor naturale, la</w:t>
      </w:r>
      <w:r>
        <w:rPr>
          <w:rFonts w:ascii="Trebuchet MS" w:hAnsi="Trebuchet MS"/>
          <w:sz w:val="22"/>
          <w:szCs w:val="22"/>
        </w:rPr>
        <w:t xml:space="preserve"> </w:t>
      </w:r>
      <w:r w:rsidRPr="0085705A">
        <w:rPr>
          <w:rFonts w:ascii="Trebuchet MS" w:hAnsi="Trebuchet MS"/>
          <w:sz w:val="22"/>
          <w:szCs w:val="22"/>
        </w:rPr>
        <w:t>o creștere semnificativă a generării, a incinerării sau a eliminării deșeurilor, sau în cazul în care</w:t>
      </w:r>
      <w:r>
        <w:rPr>
          <w:rFonts w:ascii="Trebuchet MS" w:hAnsi="Trebuchet MS"/>
          <w:sz w:val="22"/>
          <w:szCs w:val="22"/>
        </w:rPr>
        <w:t xml:space="preserve"> </w:t>
      </w:r>
      <w:r w:rsidRPr="0085705A">
        <w:rPr>
          <w:rFonts w:ascii="Trebuchet MS" w:hAnsi="Trebuchet MS"/>
          <w:sz w:val="22"/>
          <w:szCs w:val="22"/>
        </w:rPr>
        <w:t>eliminarea pe termen lung a deșeurilor poate cauza prejudicii semnificative și pe termen lung mediului;</w:t>
      </w:r>
    </w:p>
    <w:p w14:paraId="5C9861A7" w14:textId="5FF22157" w:rsidR="0085705A" w:rsidRPr="0085705A" w:rsidRDefault="0085705A" w:rsidP="0085705A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85705A">
        <w:rPr>
          <w:rFonts w:ascii="Trebuchet MS" w:hAnsi="Trebuchet MS"/>
          <w:sz w:val="22"/>
          <w:szCs w:val="22"/>
        </w:rPr>
        <w:t>5. Se consideră că o activitate prejudiciază în mod semnificativ prevenirea și controlul poluării în cazul</w:t>
      </w:r>
      <w:r>
        <w:rPr>
          <w:rFonts w:ascii="Trebuchet MS" w:hAnsi="Trebuchet MS"/>
          <w:sz w:val="22"/>
          <w:szCs w:val="22"/>
        </w:rPr>
        <w:t xml:space="preserve"> </w:t>
      </w:r>
      <w:r w:rsidRPr="0085705A">
        <w:rPr>
          <w:rFonts w:ascii="Trebuchet MS" w:hAnsi="Trebuchet MS"/>
          <w:sz w:val="22"/>
          <w:szCs w:val="22"/>
        </w:rPr>
        <w:t>în care activitatea respectivă duce la o creștere semnificativă a emisiilor de poluanți în aer, apă sau</w:t>
      </w:r>
      <w:r>
        <w:rPr>
          <w:rFonts w:ascii="Trebuchet MS" w:hAnsi="Trebuchet MS"/>
          <w:sz w:val="22"/>
          <w:szCs w:val="22"/>
        </w:rPr>
        <w:t xml:space="preserve"> </w:t>
      </w:r>
      <w:r w:rsidRPr="0085705A">
        <w:rPr>
          <w:rFonts w:ascii="Trebuchet MS" w:hAnsi="Trebuchet MS"/>
          <w:sz w:val="22"/>
          <w:szCs w:val="22"/>
        </w:rPr>
        <w:t>sol;</w:t>
      </w:r>
    </w:p>
    <w:p w14:paraId="6732D3C8" w14:textId="5447573D" w:rsidR="0085705A" w:rsidRPr="0085705A" w:rsidRDefault="0085705A" w:rsidP="0085705A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85705A">
        <w:rPr>
          <w:rFonts w:ascii="Trebuchet MS" w:hAnsi="Trebuchet MS"/>
          <w:sz w:val="22"/>
          <w:szCs w:val="22"/>
        </w:rPr>
        <w:t>6. Se consideră că o activitate economică prejudiciază în mod semnificativ protecția și refacerea</w:t>
      </w:r>
      <w:r>
        <w:rPr>
          <w:rFonts w:ascii="Trebuchet MS" w:hAnsi="Trebuchet MS"/>
          <w:sz w:val="22"/>
          <w:szCs w:val="22"/>
        </w:rPr>
        <w:t xml:space="preserve"> </w:t>
      </w:r>
      <w:r w:rsidRPr="0085705A">
        <w:rPr>
          <w:rFonts w:ascii="Trebuchet MS" w:hAnsi="Trebuchet MS"/>
          <w:sz w:val="22"/>
          <w:szCs w:val="22"/>
        </w:rPr>
        <w:t>biodiversității și a ecosistemelor în cazul în care activitatea respectivă este nocivă în mod semnificativ</w:t>
      </w:r>
      <w:r>
        <w:rPr>
          <w:rFonts w:ascii="Trebuchet MS" w:hAnsi="Trebuchet MS"/>
          <w:sz w:val="22"/>
          <w:szCs w:val="22"/>
        </w:rPr>
        <w:t xml:space="preserve"> </w:t>
      </w:r>
      <w:r w:rsidRPr="0085705A">
        <w:rPr>
          <w:rFonts w:ascii="Trebuchet MS" w:hAnsi="Trebuchet MS"/>
          <w:sz w:val="22"/>
          <w:szCs w:val="22"/>
        </w:rPr>
        <w:t>pentru condiția bună și reziliența ecosistemelor sau nocivă pentru stadiul de conservare a habitatelor</w:t>
      </w:r>
      <w:r>
        <w:rPr>
          <w:rFonts w:ascii="Trebuchet MS" w:hAnsi="Trebuchet MS"/>
          <w:sz w:val="22"/>
          <w:szCs w:val="22"/>
        </w:rPr>
        <w:t xml:space="preserve"> </w:t>
      </w:r>
      <w:r w:rsidRPr="0085705A">
        <w:rPr>
          <w:rFonts w:ascii="Trebuchet MS" w:hAnsi="Trebuchet MS"/>
          <w:sz w:val="22"/>
          <w:szCs w:val="22"/>
        </w:rPr>
        <w:t>și a speciilor, inclusiv a celor de interes pentru Uniune.</w:t>
      </w:r>
    </w:p>
    <w:p w14:paraId="0829BE82" w14:textId="365913B3" w:rsidR="0085705A" w:rsidRPr="0085705A" w:rsidRDefault="0085705A" w:rsidP="0085705A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85705A">
        <w:rPr>
          <w:rFonts w:ascii="Trebuchet MS" w:hAnsi="Trebuchet MS"/>
          <w:sz w:val="22"/>
          <w:szCs w:val="22"/>
        </w:rPr>
        <w:t>Solicitantul va justifica integrarea considerentelor DNSH și a măsurilor de atenuare care se impun a fi</w:t>
      </w:r>
      <w:r>
        <w:rPr>
          <w:rFonts w:ascii="Trebuchet MS" w:hAnsi="Trebuchet MS"/>
          <w:sz w:val="22"/>
          <w:szCs w:val="22"/>
        </w:rPr>
        <w:t xml:space="preserve"> </w:t>
      </w:r>
      <w:r w:rsidRPr="0085705A">
        <w:rPr>
          <w:rFonts w:ascii="Trebuchet MS" w:hAnsi="Trebuchet MS"/>
          <w:sz w:val="22"/>
          <w:szCs w:val="22"/>
        </w:rPr>
        <w:t>adoptate în vederea asigurării conformității atât în cadrul procedurilor de licitație și de achiziție, prin</w:t>
      </w:r>
      <w:r>
        <w:rPr>
          <w:rFonts w:ascii="Trebuchet MS" w:hAnsi="Trebuchet MS"/>
          <w:sz w:val="22"/>
          <w:szCs w:val="22"/>
        </w:rPr>
        <w:t xml:space="preserve"> </w:t>
      </w:r>
      <w:r w:rsidRPr="0085705A">
        <w:rPr>
          <w:rFonts w:ascii="Trebuchet MS" w:hAnsi="Trebuchet MS"/>
          <w:sz w:val="22"/>
          <w:szCs w:val="22"/>
        </w:rPr>
        <w:t>includerea în cerinţele documentaţiilor de achiziţie/de proiectare din caietul de sarcini pentru</w:t>
      </w:r>
      <w:r>
        <w:rPr>
          <w:rFonts w:ascii="Trebuchet MS" w:hAnsi="Trebuchet MS"/>
          <w:sz w:val="22"/>
          <w:szCs w:val="22"/>
        </w:rPr>
        <w:t xml:space="preserve"> </w:t>
      </w:r>
      <w:r w:rsidRPr="0085705A">
        <w:rPr>
          <w:rFonts w:ascii="Trebuchet MS" w:hAnsi="Trebuchet MS"/>
          <w:sz w:val="22"/>
          <w:szCs w:val="22"/>
        </w:rPr>
        <w:t>realizarea proiectului tehnic, a măsurilor privind respectarea principiului „Do No Significant Harm”</w:t>
      </w:r>
      <w:r>
        <w:rPr>
          <w:rFonts w:ascii="Trebuchet MS" w:hAnsi="Trebuchet MS"/>
          <w:sz w:val="22"/>
          <w:szCs w:val="22"/>
        </w:rPr>
        <w:t xml:space="preserve"> </w:t>
      </w:r>
      <w:r w:rsidRPr="0085705A">
        <w:rPr>
          <w:rFonts w:ascii="Trebuchet MS" w:hAnsi="Trebuchet MS"/>
          <w:sz w:val="22"/>
          <w:szCs w:val="22"/>
        </w:rPr>
        <w:t>(DNSH), cât și în etapa de execuție a lucrărilor.</w:t>
      </w:r>
    </w:p>
    <w:p w14:paraId="0E2D5C1D" w14:textId="028F368F" w:rsidR="00BE2B6D" w:rsidRDefault="0085705A" w:rsidP="0085705A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85705A">
        <w:rPr>
          <w:rFonts w:ascii="Trebuchet MS" w:hAnsi="Trebuchet MS"/>
          <w:sz w:val="22"/>
          <w:szCs w:val="22"/>
        </w:rPr>
        <w:t>Solicitantul va justifica modul în care măsurile realizate în cadrul proiectelor sunt conforme cu articolul</w:t>
      </w:r>
      <w:r w:rsidR="00EE0F72">
        <w:rPr>
          <w:rFonts w:ascii="Trebuchet MS" w:hAnsi="Trebuchet MS"/>
          <w:sz w:val="22"/>
          <w:szCs w:val="22"/>
        </w:rPr>
        <w:t xml:space="preserve"> </w:t>
      </w:r>
      <w:r w:rsidRPr="0085705A">
        <w:rPr>
          <w:rFonts w:ascii="Trebuchet MS" w:hAnsi="Trebuchet MS"/>
          <w:sz w:val="22"/>
          <w:szCs w:val="22"/>
        </w:rPr>
        <w:t>17 („Prejudicierea în mod semnificativ a obiectivelor de mediu”) din Regulamentul privind taxonomia,</w:t>
      </w:r>
      <w:r w:rsidR="00EE0F72">
        <w:rPr>
          <w:rFonts w:ascii="Trebuchet MS" w:hAnsi="Trebuchet MS"/>
          <w:sz w:val="22"/>
          <w:szCs w:val="22"/>
        </w:rPr>
        <w:t xml:space="preserve"> </w:t>
      </w:r>
      <w:r w:rsidRPr="0085705A">
        <w:rPr>
          <w:rFonts w:ascii="Trebuchet MS" w:hAnsi="Trebuchet MS"/>
          <w:sz w:val="22"/>
          <w:szCs w:val="22"/>
        </w:rPr>
        <w:t xml:space="preserve">prin completarea </w:t>
      </w:r>
      <w:r w:rsidR="0015243A">
        <w:rPr>
          <w:rFonts w:ascii="Trebuchet MS" w:hAnsi="Trebuchet MS"/>
          <w:sz w:val="22"/>
          <w:szCs w:val="22"/>
        </w:rPr>
        <w:t xml:space="preserve"> în cererea de finanțare </w:t>
      </w:r>
      <w:r w:rsidR="00CD1FC8">
        <w:rPr>
          <w:rFonts w:ascii="Trebuchet MS" w:hAnsi="Trebuchet MS"/>
          <w:sz w:val="22"/>
          <w:szCs w:val="22"/>
        </w:rPr>
        <w:t>cu privire la cele menționate mai jos în table</w:t>
      </w:r>
      <w:r w:rsidRPr="0085705A">
        <w:rPr>
          <w:rFonts w:ascii="Trebuchet MS" w:hAnsi="Trebuchet MS"/>
          <w:sz w:val="22"/>
          <w:szCs w:val="22"/>
        </w:rPr>
        <w:t>.</w:t>
      </w:r>
      <w:r w:rsidR="00BE2B6D" w:rsidRPr="0085705A">
        <w:rPr>
          <w:rFonts w:ascii="Trebuchet MS" w:hAnsi="Trebuchet MS"/>
          <w:sz w:val="22"/>
          <w:szCs w:val="22"/>
        </w:rPr>
        <w:t xml:space="preserve"> </w:t>
      </w:r>
    </w:p>
    <w:p w14:paraId="74F2E0DC" w14:textId="24A9562E" w:rsidR="002E6C10" w:rsidRDefault="002E6C10" w:rsidP="0085705A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14:paraId="0F5BD8BD" w14:textId="51967CB6" w:rsidR="002E6C10" w:rsidRDefault="002E6C10" w:rsidP="0085705A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14:paraId="153B38D9" w14:textId="1C00916F" w:rsidR="002E6C10" w:rsidRDefault="002E6C10" w:rsidP="0085705A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14:paraId="5CD8166E" w14:textId="68E16242" w:rsidR="002E6C10" w:rsidRDefault="002E6C10" w:rsidP="0085705A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14:paraId="29837830" w14:textId="33A686BB" w:rsidR="002E6C10" w:rsidRDefault="002E6C10" w:rsidP="0085705A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tbl>
      <w:tblPr>
        <w:tblW w:w="973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683"/>
        <w:gridCol w:w="7237"/>
      </w:tblGrid>
      <w:tr w:rsidR="002E6C10" w:rsidRPr="00CD1FC8" w14:paraId="5A233F3E" w14:textId="77777777" w:rsidTr="00CD1FC8">
        <w:trPr>
          <w:trHeight w:val="3426"/>
        </w:trPr>
        <w:tc>
          <w:tcPr>
            <w:tcW w:w="181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FBB2F4E" w14:textId="77777777" w:rsidR="002E6C10" w:rsidRPr="00CD1FC8" w:rsidRDefault="002E6C10" w:rsidP="009626DA">
            <w:pPr>
              <w:pStyle w:val="Default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Atenuarea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schimbărilor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climatice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: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Măsura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extinsă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a genera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emisii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semnificative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de GES? </w:t>
            </w:r>
          </w:p>
        </w:tc>
        <w:tc>
          <w:tcPr>
            <w:tcW w:w="6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129BE7" w14:textId="77777777" w:rsidR="002E6C10" w:rsidRPr="00CD1FC8" w:rsidRDefault="002E6C10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CD1FC8">
              <w:rPr>
                <w:rFonts w:ascii="Trebuchet MS" w:hAnsi="Trebuchet MS"/>
                <w:sz w:val="20"/>
                <w:szCs w:val="20"/>
              </w:rPr>
              <w:t xml:space="preserve">X </w:t>
            </w:r>
          </w:p>
        </w:tc>
        <w:tc>
          <w:tcPr>
            <w:tcW w:w="723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3F3BB39" w14:textId="77777777" w:rsidR="002E6C10" w:rsidRPr="00CD1FC8" w:rsidRDefault="002E6C10" w:rsidP="009626DA">
            <w:pPr>
              <w:pStyle w:val="Default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Investițiile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constau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reconversia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a 105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biblioteci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hub-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uri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dezvoltarea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competențelor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digitale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susținute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fonduri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suplimentare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1030 de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biblioteci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a-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îmbunătăți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echipamentele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formarea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bibliotecarilor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.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cadrul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acestei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investiții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, se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preconizează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fi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dezvoltate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competențe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bază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, cum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ar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fi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alfabetizarea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digitală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comunicarea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educația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domeniul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mass-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mediei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crearera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conținut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digital,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securitatea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digitală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educația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antreprenorială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digitală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100 000 de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cetățeni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din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comunitățile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defavorizate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. </w:t>
            </w:r>
          </w:p>
          <w:p w14:paraId="38622611" w14:textId="77777777" w:rsidR="002E6C10" w:rsidRPr="00CD1FC8" w:rsidRDefault="002E6C10" w:rsidP="009626DA">
            <w:pPr>
              <w:pStyle w:val="Default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Activitățile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propuse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cadrul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acestei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intervenții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au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un impact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previzionat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nesemnificativ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asupra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acestui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obiectiv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mediu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având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vedere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impactul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direct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indirect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asupra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ciclului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viață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. </w:t>
            </w:r>
          </w:p>
          <w:p w14:paraId="285B2209" w14:textId="77777777" w:rsidR="002E6C10" w:rsidRPr="00CD1FC8" w:rsidRDefault="002E6C10" w:rsidP="009626DA">
            <w:pPr>
              <w:pStyle w:val="Defaul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D1FC8">
              <w:rPr>
                <w:rFonts w:ascii="Trebuchet MS" w:hAnsi="Trebuchet MS"/>
                <w:sz w:val="20"/>
                <w:szCs w:val="20"/>
              </w:rPr>
              <w:t xml:space="preserve">Nu se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preconizează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măsura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conduce la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emisii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semnificative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de GES,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deoarece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sistemele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fi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proiectate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instalate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puse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funcțiune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conformitate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tehnologiile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înaltă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eficiență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energia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din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surse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regenerabile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a reduce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consumul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energie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emisiile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de CO2. </w:t>
            </w:r>
          </w:p>
          <w:p w14:paraId="4B356E2A" w14:textId="77777777" w:rsidR="002E6C10" w:rsidRPr="00CD1FC8" w:rsidRDefault="002E6C10" w:rsidP="009626DA">
            <w:pPr>
              <w:pStyle w:val="Default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Proiectele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urmări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, de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asemenea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optimizarea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gestionării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resurselor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sectorul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construcțiilor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protejând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același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timp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mediul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conformitate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principiile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dezvoltării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durabile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.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acest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fel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acestea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fi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promovate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prin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propunerea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utilizării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tehnologiilor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materialelor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construcție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ecoeficiabile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, cu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optimizarea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costurilor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durata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ciclului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viață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.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fi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propuse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soluții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durabile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construcție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utilizarea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eficientă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resurselor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crea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construcții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mai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bune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îmbunătățească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sănătatea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umană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îmbunătățească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mediul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genereze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economii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. Cu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soluțiile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proiectare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urmează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fie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propuse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lucrările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construcție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evita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limita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impactul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asupra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mediului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făcând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utilizarea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optimă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resurselor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locale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iluminat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încălzire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ventilație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atât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naturale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cât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artificiale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. </w:t>
            </w:r>
          </w:p>
          <w:p w14:paraId="5BD01241" w14:textId="77777777" w:rsidR="002E6C10" w:rsidRPr="00CD1FC8" w:rsidRDefault="002E6C10" w:rsidP="009626DA">
            <w:pPr>
              <w:pStyle w:val="Default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Prin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urmare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sistemele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eficiente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din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punct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vedere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energetic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bazate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energia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electrică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produsă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panourile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fotovoltaice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fi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utilizate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gramStart"/>
            <w:r w:rsidRPr="00CD1FC8">
              <w:rPr>
                <w:rFonts w:ascii="Trebuchet MS" w:hAnsi="Trebuchet MS"/>
                <w:sz w:val="20"/>
                <w:szCs w:val="20"/>
              </w:rPr>
              <w:t>a</w:t>
            </w:r>
            <w:proofErr w:type="gram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executa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alimentarea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energie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electrică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centrelor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de date.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Echipamentele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utilizate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furniza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căldură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încălzitor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fi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extrem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eficiente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din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punct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vedere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energetic. </w:t>
            </w:r>
          </w:p>
          <w:p w14:paraId="58592F03" w14:textId="77777777" w:rsidR="002E6C10" w:rsidRPr="00CD1FC8" w:rsidRDefault="002E6C10" w:rsidP="009626DA">
            <w:pPr>
              <w:pStyle w:val="Default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Totodată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instalațiile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ventilație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climatizare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utilizate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fi de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ultimă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generație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eco-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eficiente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. </w:t>
            </w:r>
          </w:p>
          <w:p w14:paraId="706D7967" w14:textId="77777777" w:rsidR="002E6C10" w:rsidRPr="00CD1FC8" w:rsidRDefault="002E6C10" w:rsidP="009626DA">
            <w:pPr>
              <w:pStyle w:val="Default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Acest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lucru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asigura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respectarea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dispozițiilor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bookmarkStart w:id="0" w:name="_Hlk118705671"/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Directivei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eficiența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energetică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clădirilor</w:t>
            </w:r>
            <w:bookmarkEnd w:id="0"/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inclusiv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prin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furnizarea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de NZEB (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clădiri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consum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energie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aproape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egal cu zero). </w:t>
            </w:r>
          </w:p>
          <w:p w14:paraId="32D7532A" w14:textId="77777777" w:rsidR="002E6C10" w:rsidRPr="00CD1FC8" w:rsidRDefault="002E6C10" w:rsidP="009626DA">
            <w:pPr>
              <w:pStyle w:val="Default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cadrul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acestei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investiții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echipamentele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utilizate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trebuie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îndeplinească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cerințele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energetice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stabilite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conformitate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Directiva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2009/125/CE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servere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stocarea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datelor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computere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servere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informatice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afișaje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electronice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. </w:t>
            </w:r>
          </w:p>
          <w:p w14:paraId="099E37B8" w14:textId="77777777" w:rsidR="002E6C10" w:rsidRPr="00CD1FC8" w:rsidRDefault="002E6C10" w:rsidP="009626DA">
            <w:pPr>
              <w:pStyle w:val="Default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Investiția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fi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realizată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lumina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celor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mai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bune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practici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eficiența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energetică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gramStart"/>
            <w:r w:rsidRPr="00CD1FC8">
              <w:rPr>
                <w:rFonts w:ascii="Trebuchet MS" w:hAnsi="Trebuchet MS"/>
                <w:sz w:val="20"/>
                <w:szCs w:val="20"/>
              </w:rPr>
              <w:t>a</w:t>
            </w:r>
            <w:proofErr w:type="gram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echipamentelor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utilizate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gestionarea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energiei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. </w:t>
            </w:r>
          </w:p>
          <w:p w14:paraId="3FAD0118" w14:textId="77777777" w:rsidR="002E6C10" w:rsidRPr="00CD1FC8" w:rsidRDefault="002E6C10" w:rsidP="009626DA">
            <w:pPr>
              <w:pStyle w:val="Default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Activitatea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demonstra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cele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mai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bune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eforturi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punerea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aplicare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practicilor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relevante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enumerate ca "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practici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preconizate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"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cea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mai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recentă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versiune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Codului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european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conduită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eficiența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energetică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Centrului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de date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documentul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CEN-CENELEC CLC TR50600-99-1 "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Instalații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infrastructuri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centrele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de date -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Partea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99-1: </w:t>
            </w:r>
          </w:p>
          <w:p w14:paraId="39766197" w14:textId="77777777" w:rsidR="002E6C10" w:rsidRPr="00CD1FC8" w:rsidRDefault="002E6C10" w:rsidP="009626DA">
            <w:pPr>
              <w:pStyle w:val="Default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Practici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recomandate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gestionarea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energiei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"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pune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aplicare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toate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practicile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preconizate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cărora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li s-a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atribuit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valoarea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maximă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de 5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conformitate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cea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mai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recentă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versiune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Codului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european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al C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referitor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reducerea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datelor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centrului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de date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eficiența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energetică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. </w:t>
            </w:r>
          </w:p>
          <w:p w14:paraId="15CC4FEF" w14:textId="74248409" w:rsidR="002E6C10" w:rsidRPr="00CD1FC8" w:rsidRDefault="008D6317" w:rsidP="009626DA">
            <w:pPr>
              <w:pStyle w:val="Default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Se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avea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vedere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conformitatea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EPBD</w:t>
            </w:r>
          </w:p>
        </w:tc>
      </w:tr>
      <w:tr w:rsidR="002E6C10" w:rsidRPr="00CD1FC8" w14:paraId="5094FDE9" w14:textId="77777777" w:rsidTr="00CD1FC8">
        <w:trPr>
          <w:trHeight w:val="3426"/>
        </w:trPr>
        <w:tc>
          <w:tcPr>
            <w:tcW w:w="181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7443C71" w14:textId="77777777" w:rsidR="002E6C10" w:rsidRPr="00CD1FC8" w:rsidRDefault="002E6C10" w:rsidP="009626DA">
            <w:pPr>
              <w:pStyle w:val="Default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lastRenderedPageBreak/>
              <w:t>Tranziția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către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o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economie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circulară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inclusiv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prevenirea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și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reciclarea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deșeurilor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: Se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preconizează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că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măsura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: </w:t>
            </w:r>
          </w:p>
          <w:p w14:paraId="2FCF66BC" w14:textId="77777777" w:rsidR="002E6C10" w:rsidRPr="00CD1FC8" w:rsidRDefault="002E6C10" w:rsidP="009626DA">
            <w:pPr>
              <w:pStyle w:val="Defaul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(i)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să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conducă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la o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creștere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semnificativă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generării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incinerării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sau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eliminării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deșeurilor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, cu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excepția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incinerării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deșeurilor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periculoase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nereciclabile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;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sau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</w:t>
            </w:r>
          </w:p>
          <w:p w14:paraId="42A5102A" w14:textId="77777777" w:rsidR="002E6C10" w:rsidRPr="00CD1FC8" w:rsidRDefault="002E6C10" w:rsidP="009626DA">
            <w:pPr>
              <w:pStyle w:val="Defaul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(ii)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să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conducă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la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ineficiențe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semnificative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în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utilizarea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directă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sau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indirectă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a</w:t>
            </w:r>
            <w:proofErr w:type="gram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oricărei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resurse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naturale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în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orice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etapă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ciclului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său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viață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, care nu sunt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reduse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la minimum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prin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măsuri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adecvate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;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sau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</w:t>
            </w:r>
          </w:p>
          <w:p w14:paraId="6E75CC08" w14:textId="5169FB3D" w:rsidR="002E6C10" w:rsidRPr="00CD1FC8" w:rsidRDefault="002E6C10" w:rsidP="009626DA">
            <w:pPr>
              <w:pStyle w:val="Default"/>
              <w:jc w:val="both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(iii)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să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cauzeze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daune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semnificative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și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pe termen lung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mediului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în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ceea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ce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privește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economia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>circulară</w:t>
            </w:r>
            <w:proofErr w:type="spellEnd"/>
            <w:r w:rsidRPr="00CD1FC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? </w:t>
            </w:r>
          </w:p>
        </w:tc>
        <w:tc>
          <w:tcPr>
            <w:tcW w:w="6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214405" w14:textId="69D84726" w:rsidR="002E6C10" w:rsidRPr="00CD1FC8" w:rsidRDefault="002E6C10" w:rsidP="002E6C10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CD1FC8">
              <w:rPr>
                <w:rFonts w:ascii="Trebuchet MS" w:hAnsi="Trebuchet MS"/>
                <w:sz w:val="20"/>
                <w:szCs w:val="20"/>
              </w:rPr>
              <w:t xml:space="preserve">x </w:t>
            </w:r>
          </w:p>
        </w:tc>
        <w:tc>
          <w:tcPr>
            <w:tcW w:w="723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92E5D8A" w14:textId="77777777" w:rsidR="002E6C10" w:rsidRPr="00CD1FC8" w:rsidRDefault="002E6C10" w:rsidP="009626DA">
            <w:pPr>
              <w:pStyle w:val="Default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Generarea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deșeuri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procesele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investiții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fi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limitată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. </w:t>
            </w:r>
          </w:p>
          <w:p w14:paraId="72C73DB6" w14:textId="77777777" w:rsidR="002E6C10" w:rsidRPr="00CD1FC8" w:rsidRDefault="002E6C10" w:rsidP="009626DA">
            <w:pPr>
              <w:pStyle w:val="Default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Utilizarea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papetăriei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derivaților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din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materiale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reciclate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utilizarea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produselor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/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echipamentelor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/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consumabilelor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întreținerea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materialelor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biodegradabile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fi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monitorizate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fi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luate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considerare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conformitate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legislația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specifică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reciclarea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gestionarea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deșeurilor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inclusiv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, de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exemplu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Directiva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deșeurile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echipamente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electrice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electronice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). </w:t>
            </w:r>
          </w:p>
          <w:p w14:paraId="6097735D" w14:textId="77777777" w:rsidR="002E6C10" w:rsidRPr="00CD1FC8" w:rsidRDefault="002E6C10" w:rsidP="009626DA">
            <w:pPr>
              <w:pStyle w:val="Default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timp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se fac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investiții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, se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asigura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există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un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nivel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scăzut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deșeuri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generate,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echipamentele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existente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sunt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reciclate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acolo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unde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posibil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echipamentele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nou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achiziționate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respectă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dispozițiile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legale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vigoare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inclusiv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standardele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europene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ceea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privește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producția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sa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inclusiv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cele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mediu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),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cerințele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eficiență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materială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stabilite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conformitate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Directiva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2009/125/CE. </w:t>
            </w:r>
          </w:p>
          <w:p w14:paraId="2D31A78E" w14:textId="77777777" w:rsidR="002E6C10" w:rsidRPr="00CD1FC8" w:rsidRDefault="002E6C10" w:rsidP="009626DA">
            <w:pPr>
              <w:pStyle w:val="Defaul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D1FC8">
              <w:rPr>
                <w:rFonts w:ascii="Trebuchet MS" w:hAnsi="Trebuchet MS"/>
                <w:sz w:val="20"/>
                <w:szCs w:val="20"/>
              </w:rPr>
              <w:t xml:space="preserve">De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asemenea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echipamentul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utilizat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nu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conține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substanțele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restricționate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enumerate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anexa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II la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Directiva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2011/65/UE, cu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excepția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cazului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valorile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concentrației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greutate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materiale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omogene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nu le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depășesc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cele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enumerate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anexa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respectivă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. </w:t>
            </w:r>
          </w:p>
          <w:p w14:paraId="64F5B439" w14:textId="77777777" w:rsidR="002E6C10" w:rsidRPr="00CD1FC8" w:rsidRDefault="002E6C10" w:rsidP="009626DA">
            <w:pPr>
              <w:pStyle w:val="Default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Trebuie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existe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un plan de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gestionare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deșeurilor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asigure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reciclarea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maximă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sfârșitul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ciclului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viață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gramStart"/>
            <w:r w:rsidRPr="00CD1FC8">
              <w:rPr>
                <w:rFonts w:ascii="Trebuchet MS" w:hAnsi="Trebuchet MS"/>
                <w:sz w:val="20"/>
                <w:szCs w:val="20"/>
              </w:rPr>
              <w:t>a</w:t>
            </w:r>
            <w:proofErr w:type="gram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echipamentelor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electrice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electronice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inclusiv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prin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acorduri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contractuale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partenerii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reciclare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reflecție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proiecțiile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financiare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documentația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oficială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proiectului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. </w:t>
            </w:r>
          </w:p>
          <w:p w14:paraId="410FCD0B" w14:textId="77777777" w:rsidR="002E6C10" w:rsidRPr="00CD1FC8" w:rsidRDefault="002E6C10" w:rsidP="009626DA">
            <w:pPr>
              <w:pStyle w:val="Defaul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D1FC8">
              <w:rPr>
                <w:rFonts w:ascii="Trebuchet MS" w:hAnsi="Trebuchet MS"/>
                <w:sz w:val="20"/>
                <w:szCs w:val="20"/>
              </w:rPr>
              <w:t xml:space="preserve">La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sfârșitul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ciclului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său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viață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echipamentul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supus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unor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operațiuni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pregătire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reutilizare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recuperare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reciclare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tratare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corespunzătoare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inclusiv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îndepărtarea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tuturor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fluidelor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un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tratament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selectiv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conformitate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anexa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VII la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Directiva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2012/19/UE. </w:t>
            </w:r>
          </w:p>
          <w:p w14:paraId="6F3B4A0E" w14:textId="1639ECC6" w:rsidR="002E6C10" w:rsidRPr="00CD1FC8" w:rsidRDefault="002E6C10" w:rsidP="009626DA">
            <w:pPr>
              <w:pStyle w:val="Default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Măsura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impune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operatorilor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economici care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efectuează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lucrări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renovare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clădirilor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asigure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puțin</w:t>
            </w:r>
            <w:bookmarkStart w:id="1" w:name="_Hlk118704805"/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70 % (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greutate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) din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deșeurile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nepericuloase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provenite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din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activități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construcție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demolare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(cu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excepția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materialelor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naturale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menționate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categoria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17 05 04 din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lista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europeană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deșeurilor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stabilită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prin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Decizia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2000/532/CE)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generate la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fața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locului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fi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pregătite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operațiuni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reutilizare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reciclare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alte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operațiuni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valorificare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materialelor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inclusiv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operațiunile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depozitare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deșeurilor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utilizează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deșeuri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înlocui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alte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materiale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conformitate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ierarhia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deșeurilor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Protocolul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UE de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gestionare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deșeurilor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din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construcții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D1FC8">
              <w:rPr>
                <w:rFonts w:ascii="Trebuchet MS" w:hAnsi="Trebuchet MS"/>
                <w:sz w:val="20"/>
                <w:szCs w:val="20"/>
              </w:rPr>
              <w:t>demolări</w:t>
            </w:r>
            <w:proofErr w:type="spellEnd"/>
            <w:r w:rsidRPr="00CD1FC8">
              <w:rPr>
                <w:rFonts w:ascii="Trebuchet MS" w:hAnsi="Trebuchet MS"/>
                <w:sz w:val="20"/>
                <w:szCs w:val="20"/>
              </w:rPr>
              <w:t xml:space="preserve">. </w:t>
            </w:r>
            <w:bookmarkEnd w:id="1"/>
          </w:p>
        </w:tc>
      </w:tr>
    </w:tbl>
    <w:p w14:paraId="168B7DBE" w14:textId="77777777" w:rsidR="002E6C10" w:rsidRPr="0085705A" w:rsidRDefault="002E6C10" w:rsidP="0085705A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4"/>
        <w:gridCol w:w="4375"/>
      </w:tblGrid>
      <w:tr w:rsidR="00BE2B6D" w:rsidRPr="0085705A" w14:paraId="20DF0A87" w14:textId="77777777" w:rsidTr="0060174A">
        <w:trPr>
          <w:trHeight w:val="2095"/>
        </w:trPr>
        <w:tc>
          <w:tcPr>
            <w:tcW w:w="4786" w:type="dxa"/>
            <w:shd w:val="clear" w:color="auto" w:fill="auto"/>
          </w:tcPr>
          <w:p w14:paraId="7D338CFD" w14:textId="77777777" w:rsidR="00BE2B6D" w:rsidRPr="0085705A" w:rsidRDefault="00BE2B6D" w:rsidP="00444A1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rebuchet MS" w:eastAsia="Calibri" w:hAnsi="Trebuchet MS"/>
                <w:i/>
                <w:iCs/>
                <w:sz w:val="22"/>
                <w:szCs w:val="22"/>
              </w:rPr>
            </w:pPr>
          </w:p>
          <w:p w14:paraId="3DB4B88D" w14:textId="77777777" w:rsidR="00BE2B6D" w:rsidRPr="0085705A" w:rsidRDefault="00BE2B6D" w:rsidP="00444A1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rebuchet MS" w:eastAsia="Calibri" w:hAnsi="Trebuchet MS"/>
                <w:sz w:val="22"/>
                <w:szCs w:val="22"/>
              </w:rPr>
            </w:pPr>
          </w:p>
        </w:tc>
        <w:tc>
          <w:tcPr>
            <w:tcW w:w="4457" w:type="dxa"/>
            <w:shd w:val="clear" w:color="auto" w:fill="auto"/>
          </w:tcPr>
          <w:p w14:paraId="5918CFC3" w14:textId="77777777" w:rsidR="00BE2B6D" w:rsidRPr="0085705A" w:rsidRDefault="00BE2B6D" w:rsidP="00444A16">
            <w:pPr>
              <w:spacing w:after="200" w:line="276" w:lineRule="auto"/>
              <w:jc w:val="both"/>
              <w:rPr>
                <w:rFonts w:ascii="Trebuchet MS" w:eastAsia="Calibri" w:hAnsi="Trebuchet MS"/>
                <w:iCs/>
                <w:sz w:val="22"/>
                <w:szCs w:val="22"/>
              </w:rPr>
            </w:pPr>
            <w:r w:rsidRPr="0085705A">
              <w:rPr>
                <w:rFonts w:ascii="Trebuchet MS" w:eastAsia="Calibri" w:hAnsi="Trebuchet MS"/>
                <w:iCs/>
                <w:sz w:val="22"/>
                <w:szCs w:val="22"/>
              </w:rPr>
              <w:t>Reprezentant legal</w:t>
            </w:r>
          </w:p>
          <w:p w14:paraId="27E7642D" w14:textId="77777777" w:rsidR="00BE2B6D" w:rsidRPr="0085705A" w:rsidRDefault="00BE2B6D" w:rsidP="00444A16">
            <w:pPr>
              <w:spacing w:after="200" w:line="276" w:lineRule="auto"/>
              <w:jc w:val="both"/>
              <w:rPr>
                <w:rFonts w:ascii="Trebuchet MS" w:eastAsia="Calibri" w:hAnsi="Trebuchet MS"/>
                <w:iCs/>
                <w:sz w:val="22"/>
                <w:szCs w:val="22"/>
              </w:rPr>
            </w:pPr>
            <w:r w:rsidRPr="0085705A">
              <w:rPr>
                <w:rFonts w:ascii="Trebuchet MS" w:eastAsia="Calibri" w:hAnsi="Trebuchet MS"/>
                <w:i/>
                <w:iCs/>
                <w:sz w:val="22"/>
                <w:szCs w:val="22"/>
              </w:rPr>
              <w:t>&lt;denumire oficială solicitant/partener&gt;</w:t>
            </w:r>
          </w:p>
          <w:p w14:paraId="72FAE13F" w14:textId="77777777" w:rsidR="00BE2B6D" w:rsidRPr="0085705A" w:rsidRDefault="00BE2B6D" w:rsidP="00444A16">
            <w:pPr>
              <w:spacing w:after="200" w:line="276" w:lineRule="auto"/>
              <w:jc w:val="both"/>
              <w:rPr>
                <w:rFonts w:ascii="Trebuchet MS" w:eastAsia="Calibri" w:hAnsi="Trebuchet MS"/>
                <w:i/>
                <w:iCs/>
                <w:sz w:val="22"/>
                <w:szCs w:val="22"/>
              </w:rPr>
            </w:pPr>
            <w:r w:rsidRPr="0085705A">
              <w:rPr>
                <w:rFonts w:ascii="Trebuchet MS" w:eastAsia="Calibri" w:hAnsi="Trebuchet MS"/>
                <w:i/>
                <w:iCs/>
                <w:sz w:val="22"/>
                <w:szCs w:val="22"/>
              </w:rPr>
              <w:t>&lt;</w:t>
            </w:r>
            <w:r w:rsidRPr="0085705A">
              <w:rPr>
                <w:rFonts w:ascii="Trebuchet MS" w:eastAsia="Calibri" w:hAnsi="Trebuchet MS"/>
                <w:i/>
                <w:sz w:val="22"/>
                <w:szCs w:val="22"/>
              </w:rPr>
              <w:t xml:space="preserve">funcţie </w:t>
            </w:r>
            <w:r w:rsidRPr="0085705A">
              <w:rPr>
                <w:rFonts w:ascii="Trebuchet MS" w:eastAsia="Calibri" w:hAnsi="Trebuchet MS"/>
                <w:i/>
                <w:iCs/>
                <w:sz w:val="22"/>
                <w:szCs w:val="22"/>
              </w:rPr>
              <w:t>reprezentant legal &gt;</w:t>
            </w:r>
          </w:p>
          <w:p w14:paraId="1DA011FE" w14:textId="77777777" w:rsidR="00BE2B6D" w:rsidRPr="0085705A" w:rsidRDefault="00BE2B6D" w:rsidP="00444A16">
            <w:pPr>
              <w:spacing w:after="200" w:line="276" w:lineRule="auto"/>
              <w:jc w:val="both"/>
              <w:rPr>
                <w:rFonts w:ascii="Trebuchet MS" w:eastAsia="Calibri" w:hAnsi="Trebuchet MS"/>
                <w:sz w:val="22"/>
                <w:szCs w:val="22"/>
              </w:rPr>
            </w:pPr>
            <w:r w:rsidRPr="0085705A">
              <w:rPr>
                <w:rFonts w:ascii="Trebuchet MS" w:eastAsia="Calibri" w:hAnsi="Trebuchet MS"/>
                <w:i/>
                <w:iCs/>
                <w:sz w:val="22"/>
                <w:szCs w:val="22"/>
              </w:rPr>
              <w:t>&lt;nume, prenume reprezentant legal*&gt;</w:t>
            </w:r>
          </w:p>
        </w:tc>
      </w:tr>
      <w:tr w:rsidR="00BE2B6D" w:rsidRPr="0085705A" w14:paraId="3077BE92" w14:textId="77777777" w:rsidTr="0060174A">
        <w:trPr>
          <w:trHeight w:val="991"/>
        </w:trPr>
        <w:tc>
          <w:tcPr>
            <w:tcW w:w="4786" w:type="dxa"/>
            <w:shd w:val="clear" w:color="auto" w:fill="auto"/>
          </w:tcPr>
          <w:p w14:paraId="27A39AF0" w14:textId="77777777" w:rsidR="00BE2B6D" w:rsidRPr="0085705A" w:rsidRDefault="00BE2B6D" w:rsidP="00444A16">
            <w:pPr>
              <w:spacing w:after="200" w:line="276" w:lineRule="auto"/>
              <w:jc w:val="both"/>
              <w:rPr>
                <w:rFonts w:ascii="Trebuchet MS" w:eastAsia="Calibri" w:hAnsi="Trebuchet MS"/>
                <w:sz w:val="22"/>
                <w:szCs w:val="22"/>
              </w:rPr>
            </w:pPr>
          </w:p>
        </w:tc>
        <w:tc>
          <w:tcPr>
            <w:tcW w:w="4457" w:type="dxa"/>
            <w:shd w:val="clear" w:color="auto" w:fill="auto"/>
          </w:tcPr>
          <w:p w14:paraId="4A7B9E03" w14:textId="77777777" w:rsidR="00BE2B6D" w:rsidRPr="0085705A" w:rsidRDefault="00BE2B6D" w:rsidP="00444A16">
            <w:pPr>
              <w:spacing w:after="200" w:line="276" w:lineRule="auto"/>
              <w:jc w:val="both"/>
              <w:rPr>
                <w:rFonts w:ascii="Trebuchet MS" w:eastAsia="Calibri" w:hAnsi="Trebuchet MS"/>
                <w:i/>
                <w:iCs/>
                <w:sz w:val="22"/>
                <w:szCs w:val="22"/>
              </w:rPr>
            </w:pPr>
          </w:p>
          <w:p w14:paraId="0369B51B" w14:textId="77777777" w:rsidR="00BE2B6D" w:rsidRPr="0085705A" w:rsidRDefault="00BE2B6D" w:rsidP="00444A16">
            <w:pPr>
              <w:spacing w:after="200" w:line="276" w:lineRule="auto"/>
              <w:jc w:val="both"/>
              <w:rPr>
                <w:rFonts w:ascii="Trebuchet MS" w:eastAsia="Calibri" w:hAnsi="Trebuchet MS"/>
                <w:i/>
                <w:iCs/>
                <w:sz w:val="22"/>
                <w:szCs w:val="22"/>
              </w:rPr>
            </w:pPr>
            <w:r w:rsidRPr="0085705A">
              <w:rPr>
                <w:rFonts w:ascii="Trebuchet MS" w:eastAsia="Calibri" w:hAnsi="Trebuchet MS"/>
                <w:i/>
                <w:iCs/>
                <w:sz w:val="22"/>
                <w:szCs w:val="22"/>
              </w:rPr>
              <w:t>&lt;semnătură reprezentant legal&gt;</w:t>
            </w:r>
          </w:p>
          <w:p w14:paraId="09558263" w14:textId="77777777" w:rsidR="00BE2B6D" w:rsidRPr="0085705A" w:rsidRDefault="00BE2B6D" w:rsidP="00444A16">
            <w:pPr>
              <w:spacing w:after="200" w:line="276" w:lineRule="auto"/>
              <w:jc w:val="both"/>
              <w:rPr>
                <w:rFonts w:ascii="Trebuchet MS" w:eastAsia="Calibri" w:hAnsi="Trebuchet MS"/>
                <w:sz w:val="22"/>
                <w:szCs w:val="22"/>
              </w:rPr>
            </w:pPr>
          </w:p>
        </w:tc>
      </w:tr>
      <w:tr w:rsidR="00BE2B6D" w:rsidRPr="0085705A" w14:paraId="7186A5F7" w14:textId="77777777" w:rsidTr="0060174A">
        <w:tc>
          <w:tcPr>
            <w:tcW w:w="4786" w:type="dxa"/>
            <w:shd w:val="clear" w:color="auto" w:fill="auto"/>
          </w:tcPr>
          <w:p w14:paraId="7CD6C020" w14:textId="77777777" w:rsidR="00BE2B6D" w:rsidRPr="0085705A" w:rsidRDefault="00BE2B6D" w:rsidP="00444A16">
            <w:pPr>
              <w:spacing w:after="200" w:line="276" w:lineRule="auto"/>
              <w:jc w:val="both"/>
              <w:rPr>
                <w:rFonts w:ascii="Trebuchet MS" w:eastAsia="Calibri" w:hAnsi="Trebuchet MS"/>
                <w:sz w:val="22"/>
                <w:szCs w:val="22"/>
              </w:rPr>
            </w:pPr>
            <w:r w:rsidRPr="0085705A">
              <w:rPr>
                <w:rFonts w:ascii="Trebuchet MS" w:eastAsia="Calibri" w:hAnsi="Trebuchet MS"/>
                <w:sz w:val="22"/>
                <w:szCs w:val="22"/>
              </w:rPr>
              <w:t xml:space="preserve">Data : </w:t>
            </w:r>
            <w:r w:rsidRPr="0085705A">
              <w:rPr>
                <w:rFonts w:ascii="Trebuchet MS" w:eastAsia="Calibri" w:hAnsi="Trebuchet MS"/>
                <w:i/>
                <w:iCs/>
                <w:sz w:val="22"/>
                <w:szCs w:val="22"/>
              </w:rPr>
              <w:t>&lt;zz/ll/aa&gt;</w:t>
            </w:r>
          </w:p>
        </w:tc>
        <w:tc>
          <w:tcPr>
            <w:tcW w:w="4457" w:type="dxa"/>
            <w:shd w:val="clear" w:color="auto" w:fill="auto"/>
          </w:tcPr>
          <w:p w14:paraId="55958AB4" w14:textId="77777777" w:rsidR="00BE2B6D" w:rsidRPr="0085705A" w:rsidRDefault="00BE2B6D" w:rsidP="00444A1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rebuchet MS" w:eastAsia="Calibri" w:hAnsi="Trebuchet MS"/>
                <w:i/>
                <w:iCs/>
                <w:sz w:val="22"/>
                <w:szCs w:val="22"/>
              </w:rPr>
            </w:pPr>
          </w:p>
          <w:p w14:paraId="64F6F7A0" w14:textId="77777777" w:rsidR="00BE2B6D" w:rsidRPr="0085705A" w:rsidRDefault="00BE2B6D" w:rsidP="00444A1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rebuchet MS" w:eastAsia="Calibri" w:hAnsi="Trebuchet MS"/>
                <w:sz w:val="22"/>
                <w:szCs w:val="22"/>
              </w:rPr>
            </w:pPr>
          </w:p>
        </w:tc>
      </w:tr>
    </w:tbl>
    <w:p w14:paraId="5599E3B3" w14:textId="77777777" w:rsidR="00BE2B6D" w:rsidRPr="0085705A" w:rsidRDefault="00BE2B6D" w:rsidP="00BE2B6D">
      <w:pPr>
        <w:spacing w:line="276" w:lineRule="auto"/>
        <w:rPr>
          <w:rFonts w:ascii="Trebuchet MS" w:hAnsi="Trebuchet MS"/>
          <w:sz w:val="22"/>
          <w:szCs w:val="22"/>
        </w:rPr>
      </w:pPr>
    </w:p>
    <w:p w14:paraId="0BC12452" w14:textId="77777777" w:rsidR="00BE2B6D" w:rsidRPr="0085705A" w:rsidRDefault="00BE2B6D" w:rsidP="00BE2B6D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i/>
          <w:iCs/>
          <w:sz w:val="22"/>
          <w:szCs w:val="22"/>
        </w:rPr>
      </w:pPr>
      <w:r w:rsidRPr="0085705A">
        <w:rPr>
          <w:rFonts w:ascii="Trebuchet MS" w:hAnsi="Trebuchet MS"/>
          <w:sz w:val="22"/>
          <w:szCs w:val="22"/>
        </w:rPr>
        <w:t>*) Se va completa cu majuscule şi fără abrevieri</w:t>
      </w:r>
    </w:p>
    <w:p w14:paraId="0B9B0C8C" w14:textId="77777777" w:rsidR="00BE2B6D" w:rsidRPr="0085705A" w:rsidRDefault="00BE2B6D" w:rsidP="00BE2B6D">
      <w:pPr>
        <w:pStyle w:val="FootnoteText"/>
        <w:rPr>
          <w:rFonts w:ascii="Trebuchet MS" w:hAnsi="Trebuchet MS"/>
          <w:sz w:val="22"/>
          <w:szCs w:val="22"/>
        </w:rPr>
      </w:pPr>
    </w:p>
    <w:p w14:paraId="563D1785" w14:textId="77777777" w:rsidR="0019101E" w:rsidRPr="0085705A" w:rsidRDefault="0019101E" w:rsidP="00BE2B6D">
      <w:pPr>
        <w:rPr>
          <w:rFonts w:ascii="Trebuchet MS" w:hAnsi="Trebuchet MS"/>
          <w:sz w:val="22"/>
          <w:szCs w:val="22"/>
        </w:rPr>
      </w:pPr>
    </w:p>
    <w:sectPr w:rsidR="0019101E" w:rsidRPr="0085705A" w:rsidSect="00500C90">
      <w:headerReference w:type="default" r:id="rId8"/>
      <w:footerReference w:type="default" r:id="rId9"/>
      <w:pgSz w:w="11909" w:h="16834" w:code="9"/>
      <w:pgMar w:top="865" w:right="1440" w:bottom="993" w:left="1440" w:header="142" w:footer="706" w:gutter="7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C7482" w14:textId="77777777" w:rsidR="00A34F47" w:rsidRDefault="00A34F47" w:rsidP="0056790C">
      <w:r>
        <w:separator/>
      </w:r>
    </w:p>
  </w:endnote>
  <w:endnote w:type="continuationSeparator" w:id="0">
    <w:p w14:paraId="3F8B6164" w14:textId="77777777" w:rsidR="00A34F47" w:rsidRDefault="00A34F47" w:rsidP="0056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3932" w14:textId="7CCDD0C9" w:rsidR="0019101E" w:rsidRDefault="0019101E" w:rsidP="00720473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0409">
      <w:rPr>
        <w:rStyle w:val="PageNumber"/>
      </w:rPr>
      <w:t>2</w:t>
    </w:r>
    <w:r>
      <w:rPr>
        <w:rStyle w:val="PageNumber"/>
      </w:rPr>
      <w:fldChar w:fldCharType="end"/>
    </w:r>
  </w:p>
  <w:p w14:paraId="70382667" w14:textId="77777777" w:rsidR="0019101E" w:rsidRDefault="001910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4CE5E" w14:textId="77777777" w:rsidR="00A34F47" w:rsidRDefault="00A34F47" w:rsidP="0056790C">
      <w:r>
        <w:separator/>
      </w:r>
    </w:p>
  </w:footnote>
  <w:footnote w:type="continuationSeparator" w:id="0">
    <w:p w14:paraId="40601382" w14:textId="77777777" w:rsidR="00A34F47" w:rsidRDefault="00A34F47" w:rsidP="00567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D4F7" w14:textId="5A56FB30" w:rsidR="00D62766" w:rsidRDefault="00D62766" w:rsidP="00D62766">
    <w:pPr>
      <w:pStyle w:val="Header"/>
      <w:jc w:val="both"/>
      <w:rPr>
        <w:b/>
        <w:bCs/>
        <w:color w:val="365F91" w:themeColor="accent1" w:themeShade="BF"/>
      </w:rPr>
    </w:pPr>
  </w:p>
  <w:p w14:paraId="42B6CE80" w14:textId="7D8EC28A" w:rsidR="00D62766" w:rsidRPr="00D62766" w:rsidRDefault="007C4F02" w:rsidP="00D62766">
    <w:pPr>
      <w:pStyle w:val="Header"/>
    </w:pPr>
    <w:r>
      <w:drawing>
        <wp:inline distT="0" distB="0" distL="0" distR="0" wp14:anchorId="68CA18F9" wp14:editId="7A5E11E5">
          <wp:extent cx="5733415" cy="681355"/>
          <wp:effectExtent l="0" t="0" r="63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singleLevel"/>
    <w:tmpl w:val="0000001A"/>
    <w:name w:val="WW8Num5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2F"/>
    <w:multiLevelType w:val="multilevel"/>
    <w:tmpl w:val="0000002F"/>
    <w:name w:val="WW8Num48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C5432C"/>
    <w:multiLevelType w:val="hybridMultilevel"/>
    <w:tmpl w:val="806AE0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179F0"/>
    <w:multiLevelType w:val="hybridMultilevel"/>
    <w:tmpl w:val="D41E3D5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E3E47A8">
      <w:numFmt w:val="bullet"/>
      <w:lvlText w:val="•"/>
      <w:lvlJc w:val="left"/>
      <w:pPr>
        <w:ind w:left="2250" w:hanging="117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35852"/>
    <w:multiLevelType w:val="hybridMultilevel"/>
    <w:tmpl w:val="F5102E8E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1457BC5"/>
    <w:multiLevelType w:val="hybridMultilevel"/>
    <w:tmpl w:val="06EABAA8"/>
    <w:lvl w:ilvl="0" w:tplc="0409000F">
      <w:start w:val="1"/>
      <w:numFmt w:val="decimal"/>
      <w:lvlText w:val="%1."/>
      <w:lvlJc w:val="left"/>
      <w:pPr>
        <w:tabs>
          <w:tab w:val="num" w:pos="5940"/>
        </w:tabs>
        <w:ind w:left="59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43CE75F6"/>
    <w:multiLevelType w:val="hybridMultilevel"/>
    <w:tmpl w:val="2584BC6E"/>
    <w:lvl w:ilvl="0" w:tplc="4F0861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696161"/>
    <w:multiLevelType w:val="hybridMultilevel"/>
    <w:tmpl w:val="47002C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F66F2C"/>
    <w:multiLevelType w:val="hybridMultilevel"/>
    <w:tmpl w:val="6E70626E"/>
    <w:lvl w:ilvl="0" w:tplc="A9B62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5529418E"/>
    <w:multiLevelType w:val="multilevel"/>
    <w:tmpl w:val="9804500E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170" w:hanging="720"/>
      </w:pPr>
    </w:lvl>
    <w:lvl w:ilvl="3">
      <w:start w:val="1"/>
      <w:numFmt w:val="decimal"/>
      <w:isLgl/>
      <w:lvlText w:val="%1.%2.%3.%4."/>
      <w:lvlJc w:val="left"/>
      <w:pPr>
        <w:ind w:left="1530" w:hanging="1080"/>
      </w:pPr>
    </w:lvl>
    <w:lvl w:ilvl="4">
      <w:start w:val="1"/>
      <w:numFmt w:val="decimal"/>
      <w:isLgl/>
      <w:lvlText w:val="%1.%2.%3.%4.%5."/>
      <w:lvlJc w:val="left"/>
      <w:pPr>
        <w:ind w:left="1530" w:hanging="1080"/>
      </w:pPr>
    </w:lvl>
    <w:lvl w:ilvl="5">
      <w:start w:val="1"/>
      <w:numFmt w:val="decimal"/>
      <w:isLgl/>
      <w:lvlText w:val="%1.%2.%3.%4.%5.%6."/>
      <w:lvlJc w:val="left"/>
      <w:pPr>
        <w:ind w:left="1890" w:hanging="1440"/>
      </w:pPr>
    </w:lvl>
    <w:lvl w:ilvl="6">
      <w:start w:val="1"/>
      <w:numFmt w:val="decimal"/>
      <w:isLgl/>
      <w:lvlText w:val="%1.%2.%3.%4.%5.%6.%7."/>
      <w:lvlJc w:val="left"/>
      <w:pPr>
        <w:ind w:left="1890" w:hanging="1440"/>
      </w:p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</w:lvl>
  </w:abstractNum>
  <w:abstractNum w:abstractNumId="10" w15:restartNumberingAfterBreak="0">
    <w:nsid w:val="568D1968"/>
    <w:multiLevelType w:val="hybridMultilevel"/>
    <w:tmpl w:val="9ECA1B04"/>
    <w:lvl w:ilvl="0" w:tplc="A9B629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AC9514D"/>
    <w:multiLevelType w:val="hybridMultilevel"/>
    <w:tmpl w:val="81C4C4DC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6840971">
    <w:abstractNumId w:val="5"/>
  </w:num>
  <w:num w:numId="2" w16cid:durableId="1276599766">
    <w:abstractNumId w:val="11"/>
  </w:num>
  <w:num w:numId="3" w16cid:durableId="1784571451">
    <w:abstractNumId w:val="7"/>
  </w:num>
  <w:num w:numId="4" w16cid:durableId="1028139662">
    <w:abstractNumId w:val="6"/>
  </w:num>
  <w:num w:numId="5" w16cid:durableId="1264536939">
    <w:abstractNumId w:val="8"/>
  </w:num>
  <w:num w:numId="6" w16cid:durableId="239632370">
    <w:abstractNumId w:val="10"/>
  </w:num>
  <w:num w:numId="7" w16cid:durableId="377245852">
    <w:abstractNumId w:val="4"/>
  </w:num>
  <w:num w:numId="8" w16cid:durableId="293875500">
    <w:abstractNumId w:val="3"/>
  </w:num>
  <w:num w:numId="9" w16cid:durableId="10807603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1567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0C"/>
    <w:rsid w:val="00012459"/>
    <w:rsid w:val="00016A8F"/>
    <w:rsid w:val="00022505"/>
    <w:rsid w:val="00040164"/>
    <w:rsid w:val="00054CDA"/>
    <w:rsid w:val="00056615"/>
    <w:rsid w:val="00060DCA"/>
    <w:rsid w:val="00072B81"/>
    <w:rsid w:val="00085633"/>
    <w:rsid w:val="000856CC"/>
    <w:rsid w:val="000923DF"/>
    <w:rsid w:val="00093E1A"/>
    <w:rsid w:val="00094395"/>
    <w:rsid w:val="000A49D0"/>
    <w:rsid w:val="000A7828"/>
    <w:rsid w:val="000C61F2"/>
    <w:rsid w:val="000C6C62"/>
    <w:rsid w:val="000D0E82"/>
    <w:rsid w:val="000D597C"/>
    <w:rsid w:val="000E6CD7"/>
    <w:rsid w:val="000F17C3"/>
    <w:rsid w:val="00100FC4"/>
    <w:rsid w:val="001024BB"/>
    <w:rsid w:val="00106FC9"/>
    <w:rsid w:val="00112F83"/>
    <w:rsid w:val="00114E73"/>
    <w:rsid w:val="0012209E"/>
    <w:rsid w:val="00123F2A"/>
    <w:rsid w:val="00135E2F"/>
    <w:rsid w:val="00135EED"/>
    <w:rsid w:val="0015243A"/>
    <w:rsid w:val="00154479"/>
    <w:rsid w:val="00166B83"/>
    <w:rsid w:val="00173029"/>
    <w:rsid w:val="00176E26"/>
    <w:rsid w:val="0019101E"/>
    <w:rsid w:val="001B11E6"/>
    <w:rsid w:val="001B3F1E"/>
    <w:rsid w:val="001E50DD"/>
    <w:rsid w:val="0020199D"/>
    <w:rsid w:val="002031A7"/>
    <w:rsid w:val="002200E3"/>
    <w:rsid w:val="00224F74"/>
    <w:rsid w:val="0023127C"/>
    <w:rsid w:val="00241722"/>
    <w:rsid w:val="00242BF1"/>
    <w:rsid w:val="00243F96"/>
    <w:rsid w:val="00244C5F"/>
    <w:rsid w:val="00261D51"/>
    <w:rsid w:val="0026635B"/>
    <w:rsid w:val="002668F9"/>
    <w:rsid w:val="00277391"/>
    <w:rsid w:val="00277835"/>
    <w:rsid w:val="002A0084"/>
    <w:rsid w:val="002A2412"/>
    <w:rsid w:val="002C001D"/>
    <w:rsid w:val="002C02CA"/>
    <w:rsid w:val="002C16C0"/>
    <w:rsid w:val="002C27E3"/>
    <w:rsid w:val="002D3469"/>
    <w:rsid w:val="002E0238"/>
    <w:rsid w:val="002E396F"/>
    <w:rsid w:val="002E6C10"/>
    <w:rsid w:val="002F012B"/>
    <w:rsid w:val="002F0C54"/>
    <w:rsid w:val="002F31D2"/>
    <w:rsid w:val="002F4168"/>
    <w:rsid w:val="002F47EE"/>
    <w:rsid w:val="00303659"/>
    <w:rsid w:val="003057AA"/>
    <w:rsid w:val="0030626B"/>
    <w:rsid w:val="00312A08"/>
    <w:rsid w:val="0031739E"/>
    <w:rsid w:val="00322396"/>
    <w:rsid w:val="00327FF3"/>
    <w:rsid w:val="00331601"/>
    <w:rsid w:val="00335542"/>
    <w:rsid w:val="003459A9"/>
    <w:rsid w:val="00350FF6"/>
    <w:rsid w:val="003547E7"/>
    <w:rsid w:val="00355BA3"/>
    <w:rsid w:val="003563EE"/>
    <w:rsid w:val="00366C62"/>
    <w:rsid w:val="003730BD"/>
    <w:rsid w:val="00374F38"/>
    <w:rsid w:val="00387121"/>
    <w:rsid w:val="003967DE"/>
    <w:rsid w:val="003A2C43"/>
    <w:rsid w:val="003B3A5A"/>
    <w:rsid w:val="003D1DBD"/>
    <w:rsid w:val="003D6D51"/>
    <w:rsid w:val="003D7A78"/>
    <w:rsid w:val="003E5473"/>
    <w:rsid w:val="003E65A5"/>
    <w:rsid w:val="0040284B"/>
    <w:rsid w:val="00405934"/>
    <w:rsid w:val="00407920"/>
    <w:rsid w:val="0041612D"/>
    <w:rsid w:val="00420FA2"/>
    <w:rsid w:val="0042138D"/>
    <w:rsid w:val="00435543"/>
    <w:rsid w:val="0043742F"/>
    <w:rsid w:val="004375E9"/>
    <w:rsid w:val="00442A50"/>
    <w:rsid w:val="0045181F"/>
    <w:rsid w:val="0046133B"/>
    <w:rsid w:val="00463618"/>
    <w:rsid w:val="00482D16"/>
    <w:rsid w:val="00485712"/>
    <w:rsid w:val="00492B7C"/>
    <w:rsid w:val="004943E4"/>
    <w:rsid w:val="00495BBE"/>
    <w:rsid w:val="004B147B"/>
    <w:rsid w:val="004B6135"/>
    <w:rsid w:val="004B7D04"/>
    <w:rsid w:val="004C771A"/>
    <w:rsid w:val="004D4292"/>
    <w:rsid w:val="004D753D"/>
    <w:rsid w:val="004E547F"/>
    <w:rsid w:val="004E6C12"/>
    <w:rsid w:val="004F6258"/>
    <w:rsid w:val="004F6524"/>
    <w:rsid w:val="00500C90"/>
    <w:rsid w:val="005022A7"/>
    <w:rsid w:val="00506F33"/>
    <w:rsid w:val="0052094D"/>
    <w:rsid w:val="005210CB"/>
    <w:rsid w:val="00523B0A"/>
    <w:rsid w:val="00524C70"/>
    <w:rsid w:val="005302F9"/>
    <w:rsid w:val="005416AC"/>
    <w:rsid w:val="00543640"/>
    <w:rsid w:val="00551F55"/>
    <w:rsid w:val="0056790C"/>
    <w:rsid w:val="0058237A"/>
    <w:rsid w:val="00582783"/>
    <w:rsid w:val="005919A1"/>
    <w:rsid w:val="005939F4"/>
    <w:rsid w:val="005A72D9"/>
    <w:rsid w:val="005B03E5"/>
    <w:rsid w:val="005B53D7"/>
    <w:rsid w:val="005B59AB"/>
    <w:rsid w:val="005E553F"/>
    <w:rsid w:val="005E5EF4"/>
    <w:rsid w:val="005F13A0"/>
    <w:rsid w:val="005F7281"/>
    <w:rsid w:val="00600940"/>
    <w:rsid w:val="0060174A"/>
    <w:rsid w:val="00602DD5"/>
    <w:rsid w:val="00604614"/>
    <w:rsid w:val="00615373"/>
    <w:rsid w:val="0061634B"/>
    <w:rsid w:val="006236E8"/>
    <w:rsid w:val="00624D2A"/>
    <w:rsid w:val="006250F7"/>
    <w:rsid w:val="0063126F"/>
    <w:rsid w:val="00657BBE"/>
    <w:rsid w:val="00660DA6"/>
    <w:rsid w:val="00673B01"/>
    <w:rsid w:val="00675E5E"/>
    <w:rsid w:val="00683120"/>
    <w:rsid w:val="00693930"/>
    <w:rsid w:val="006A2772"/>
    <w:rsid w:val="006A3F61"/>
    <w:rsid w:val="006B32C1"/>
    <w:rsid w:val="006B5B76"/>
    <w:rsid w:val="006C5B66"/>
    <w:rsid w:val="006D3B48"/>
    <w:rsid w:val="006E29EA"/>
    <w:rsid w:val="006F0D26"/>
    <w:rsid w:val="006F2C42"/>
    <w:rsid w:val="006F6133"/>
    <w:rsid w:val="006F728F"/>
    <w:rsid w:val="006F7810"/>
    <w:rsid w:val="007033D4"/>
    <w:rsid w:val="0070515A"/>
    <w:rsid w:val="007138AA"/>
    <w:rsid w:val="00717FC6"/>
    <w:rsid w:val="00720473"/>
    <w:rsid w:val="00721CF8"/>
    <w:rsid w:val="0072540B"/>
    <w:rsid w:val="00725571"/>
    <w:rsid w:val="00734EF0"/>
    <w:rsid w:val="007409DB"/>
    <w:rsid w:val="00746A9C"/>
    <w:rsid w:val="00780949"/>
    <w:rsid w:val="00780D0D"/>
    <w:rsid w:val="0078507D"/>
    <w:rsid w:val="0079051D"/>
    <w:rsid w:val="007A5EAC"/>
    <w:rsid w:val="007B2E26"/>
    <w:rsid w:val="007C0A76"/>
    <w:rsid w:val="007C40A2"/>
    <w:rsid w:val="007C4F02"/>
    <w:rsid w:val="007C736C"/>
    <w:rsid w:val="007D79A0"/>
    <w:rsid w:val="007E37AA"/>
    <w:rsid w:val="007E76BC"/>
    <w:rsid w:val="00802931"/>
    <w:rsid w:val="0080439A"/>
    <w:rsid w:val="00814235"/>
    <w:rsid w:val="00814A14"/>
    <w:rsid w:val="00823560"/>
    <w:rsid w:val="00826F3D"/>
    <w:rsid w:val="00827A93"/>
    <w:rsid w:val="00830CE6"/>
    <w:rsid w:val="00837103"/>
    <w:rsid w:val="00837DF2"/>
    <w:rsid w:val="00845719"/>
    <w:rsid w:val="00850292"/>
    <w:rsid w:val="0085705A"/>
    <w:rsid w:val="0087290B"/>
    <w:rsid w:val="008735ED"/>
    <w:rsid w:val="00884794"/>
    <w:rsid w:val="008C18B0"/>
    <w:rsid w:val="008D6317"/>
    <w:rsid w:val="008E36D6"/>
    <w:rsid w:val="008E7BDC"/>
    <w:rsid w:val="008F0196"/>
    <w:rsid w:val="008F3BAF"/>
    <w:rsid w:val="008F680A"/>
    <w:rsid w:val="00905AA9"/>
    <w:rsid w:val="00927981"/>
    <w:rsid w:val="00930080"/>
    <w:rsid w:val="0093043B"/>
    <w:rsid w:val="00933706"/>
    <w:rsid w:val="009479B7"/>
    <w:rsid w:val="00950C08"/>
    <w:rsid w:val="009542D6"/>
    <w:rsid w:val="0095591B"/>
    <w:rsid w:val="00955A68"/>
    <w:rsid w:val="00961FC8"/>
    <w:rsid w:val="009626DA"/>
    <w:rsid w:val="0096458E"/>
    <w:rsid w:val="00964758"/>
    <w:rsid w:val="00965B3D"/>
    <w:rsid w:val="00984476"/>
    <w:rsid w:val="00984701"/>
    <w:rsid w:val="0098545C"/>
    <w:rsid w:val="00986C56"/>
    <w:rsid w:val="009876F2"/>
    <w:rsid w:val="009939F9"/>
    <w:rsid w:val="009976EE"/>
    <w:rsid w:val="009C5B11"/>
    <w:rsid w:val="009D0D7D"/>
    <w:rsid w:val="009D1FC8"/>
    <w:rsid w:val="009E2845"/>
    <w:rsid w:val="009E4BB1"/>
    <w:rsid w:val="00A01424"/>
    <w:rsid w:val="00A041A4"/>
    <w:rsid w:val="00A158C9"/>
    <w:rsid w:val="00A236CB"/>
    <w:rsid w:val="00A303DC"/>
    <w:rsid w:val="00A34968"/>
    <w:rsid w:val="00A34F47"/>
    <w:rsid w:val="00A42864"/>
    <w:rsid w:val="00A5364B"/>
    <w:rsid w:val="00A6118B"/>
    <w:rsid w:val="00A62A70"/>
    <w:rsid w:val="00A76D77"/>
    <w:rsid w:val="00A84383"/>
    <w:rsid w:val="00AA2103"/>
    <w:rsid w:val="00AA26DC"/>
    <w:rsid w:val="00AA75A7"/>
    <w:rsid w:val="00AA77C1"/>
    <w:rsid w:val="00AB4F10"/>
    <w:rsid w:val="00AC4091"/>
    <w:rsid w:val="00AD3A39"/>
    <w:rsid w:val="00AE6767"/>
    <w:rsid w:val="00AE779B"/>
    <w:rsid w:val="00AF0408"/>
    <w:rsid w:val="00AF1CF4"/>
    <w:rsid w:val="00AF2833"/>
    <w:rsid w:val="00AF7CF7"/>
    <w:rsid w:val="00B11BB5"/>
    <w:rsid w:val="00B163E4"/>
    <w:rsid w:val="00B17E22"/>
    <w:rsid w:val="00B264C2"/>
    <w:rsid w:val="00B265BC"/>
    <w:rsid w:val="00B4177D"/>
    <w:rsid w:val="00B51545"/>
    <w:rsid w:val="00B5471F"/>
    <w:rsid w:val="00B56FDF"/>
    <w:rsid w:val="00B74883"/>
    <w:rsid w:val="00B8571A"/>
    <w:rsid w:val="00B86D9E"/>
    <w:rsid w:val="00B938AF"/>
    <w:rsid w:val="00B94BD0"/>
    <w:rsid w:val="00B9521C"/>
    <w:rsid w:val="00BA634D"/>
    <w:rsid w:val="00BA775B"/>
    <w:rsid w:val="00BB6D0B"/>
    <w:rsid w:val="00BC133A"/>
    <w:rsid w:val="00BD152D"/>
    <w:rsid w:val="00BD626D"/>
    <w:rsid w:val="00BD6F8C"/>
    <w:rsid w:val="00BE2B6D"/>
    <w:rsid w:val="00BE4806"/>
    <w:rsid w:val="00C03466"/>
    <w:rsid w:val="00C06482"/>
    <w:rsid w:val="00C0797D"/>
    <w:rsid w:val="00C138D5"/>
    <w:rsid w:val="00C13CDE"/>
    <w:rsid w:val="00C14117"/>
    <w:rsid w:val="00C27C9D"/>
    <w:rsid w:val="00C31015"/>
    <w:rsid w:val="00C32438"/>
    <w:rsid w:val="00C37BA9"/>
    <w:rsid w:val="00C43DED"/>
    <w:rsid w:val="00C44CFC"/>
    <w:rsid w:val="00C46232"/>
    <w:rsid w:val="00C56E4F"/>
    <w:rsid w:val="00C64CDF"/>
    <w:rsid w:val="00C65F2C"/>
    <w:rsid w:val="00C76DD1"/>
    <w:rsid w:val="00CA4A36"/>
    <w:rsid w:val="00CA4AF7"/>
    <w:rsid w:val="00CA5869"/>
    <w:rsid w:val="00CB0F50"/>
    <w:rsid w:val="00CB46D4"/>
    <w:rsid w:val="00CD1FC8"/>
    <w:rsid w:val="00CE09FC"/>
    <w:rsid w:val="00CE6269"/>
    <w:rsid w:val="00CF1B35"/>
    <w:rsid w:val="00D050E1"/>
    <w:rsid w:val="00D21181"/>
    <w:rsid w:val="00D2582D"/>
    <w:rsid w:val="00D34C74"/>
    <w:rsid w:val="00D43251"/>
    <w:rsid w:val="00D462C1"/>
    <w:rsid w:val="00D62766"/>
    <w:rsid w:val="00D6532C"/>
    <w:rsid w:val="00D70CBE"/>
    <w:rsid w:val="00D760FA"/>
    <w:rsid w:val="00D80409"/>
    <w:rsid w:val="00D86E0D"/>
    <w:rsid w:val="00D87AE0"/>
    <w:rsid w:val="00D9198F"/>
    <w:rsid w:val="00D94133"/>
    <w:rsid w:val="00DA58E3"/>
    <w:rsid w:val="00DB1E1E"/>
    <w:rsid w:val="00DB6D4A"/>
    <w:rsid w:val="00DC7C34"/>
    <w:rsid w:val="00DF3A77"/>
    <w:rsid w:val="00E02F0E"/>
    <w:rsid w:val="00E13F2B"/>
    <w:rsid w:val="00E24987"/>
    <w:rsid w:val="00E33146"/>
    <w:rsid w:val="00E35035"/>
    <w:rsid w:val="00E35E75"/>
    <w:rsid w:val="00E35F91"/>
    <w:rsid w:val="00E42358"/>
    <w:rsid w:val="00E45BF7"/>
    <w:rsid w:val="00E56252"/>
    <w:rsid w:val="00E720EF"/>
    <w:rsid w:val="00E855D4"/>
    <w:rsid w:val="00E95D08"/>
    <w:rsid w:val="00EA0452"/>
    <w:rsid w:val="00EA142A"/>
    <w:rsid w:val="00EA591B"/>
    <w:rsid w:val="00EB5002"/>
    <w:rsid w:val="00EB5FAC"/>
    <w:rsid w:val="00EC6371"/>
    <w:rsid w:val="00EC7B4A"/>
    <w:rsid w:val="00ED0CDB"/>
    <w:rsid w:val="00EE0F72"/>
    <w:rsid w:val="00EE536F"/>
    <w:rsid w:val="00F029D1"/>
    <w:rsid w:val="00F0432C"/>
    <w:rsid w:val="00F07CC9"/>
    <w:rsid w:val="00F13525"/>
    <w:rsid w:val="00F37D9F"/>
    <w:rsid w:val="00F4661C"/>
    <w:rsid w:val="00F534D4"/>
    <w:rsid w:val="00F57DA0"/>
    <w:rsid w:val="00F62043"/>
    <w:rsid w:val="00F6420F"/>
    <w:rsid w:val="00F73B47"/>
    <w:rsid w:val="00F81914"/>
    <w:rsid w:val="00F940D0"/>
    <w:rsid w:val="00FA68BB"/>
    <w:rsid w:val="00FB5718"/>
    <w:rsid w:val="00FB6F2A"/>
    <w:rsid w:val="00FC1C2B"/>
    <w:rsid w:val="00FC6E6F"/>
    <w:rsid w:val="00FD092F"/>
    <w:rsid w:val="00FD1F1E"/>
    <w:rsid w:val="00FD3D0E"/>
    <w:rsid w:val="00FE56CB"/>
    <w:rsid w:val="00FF6E99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1CC46C"/>
  <w15:docId w15:val="{714CC787-2765-4C33-AA6D-300BD907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90C"/>
    <w:rPr>
      <w:rFonts w:ascii="Times New Roman" w:eastAsia="Times New Roman" w:hAnsi="Times New Roman"/>
      <w:noProof/>
      <w:sz w:val="24"/>
      <w:szCs w:val="24"/>
      <w:lang w:val="ro-RO"/>
    </w:rPr>
  </w:style>
  <w:style w:type="paragraph" w:styleId="Heading1">
    <w:name w:val="heading 1"/>
    <w:aliases w:val="Heading 1.1"/>
    <w:basedOn w:val="Normal"/>
    <w:next w:val="Normal"/>
    <w:link w:val="Heading1Char"/>
    <w:autoRedefine/>
    <w:uiPriority w:val="99"/>
    <w:qFormat/>
    <w:rsid w:val="00FD3D0E"/>
    <w:pPr>
      <w:shd w:val="clear" w:color="auto" w:fill="2E74B5"/>
      <w:outlineLvl w:val="0"/>
    </w:pPr>
    <w:rPr>
      <w:rFonts w:ascii="Times New Roman Bold" w:hAnsi="Times New Roman Bold" w:cs="Times New Roman Bold"/>
      <w:b/>
      <w:bCs/>
      <w:smallCaps/>
      <w:color w:val="FFFFF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199D"/>
    <w:pPr>
      <w:keepNext/>
      <w:shd w:val="clear" w:color="auto" w:fill="8496B0"/>
      <w:spacing w:before="240" w:after="60"/>
      <w:outlineLvl w:val="1"/>
    </w:pPr>
    <w:rPr>
      <w:rFonts w:eastAsia="MS Mincho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43251"/>
    <w:pPr>
      <w:keepNext/>
      <w:autoSpaceDE w:val="0"/>
      <w:autoSpaceDN w:val="0"/>
      <w:adjustRightInd w:val="0"/>
      <w:ind w:left="284"/>
      <w:outlineLvl w:val="2"/>
    </w:pPr>
    <w:rPr>
      <w:i/>
      <w:iCs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43251"/>
    <w:pPr>
      <w:keepNext/>
      <w:keepLines/>
      <w:spacing w:before="40"/>
      <w:outlineLvl w:val="5"/>
    </w:pPr>
    <w:rPr>
      <w:rFonts w:ascii="Calibri Light" w:hAnsi="Calibri Light" w:cs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.1 Char"/>
    <w:link w:val="Heading1"/>
    <w:uiPriority w:val="99"/>
    <w:locked/>
    <w:rsid w:val="00FD3D0E"/>
    <w:rPr>
      <w:rFonts w:ascii="Times New Roman Bold" w:hAnsi="Times New Roman Bold" w:cs="Times New Roman Bold"/>
      <w:b/>
      <w:bCs/>
      <w:smallCaps/>
      <w:color w:val="FFFFFF"/>
      <w:sz w:val="28"/>
      <w:szCs w:val="28"/>
      <w:shd w:val="clear" w:color="auto" w:fill="2E74B5"/>
    </w:rPr>
  </w:style>
  <w:style w:type="character" w:customStyle="1" w:styleId="Heading2Char">
    <w:name w:val="Heading 2 Char"/>
    <w:link w:val="Heading2"/>
    <w:uiPriority w:val="99"/>
    <w:locked/>
    <w:rsid w:val="0020199D"/>
    <w:rPr>
      <w:rFonts w:ascii="Times New Roman" w:eastAsia="MS Mincho" w:hAnsi="Times New Roman" w:cs="Times New Roman"/>
      <w:b/>
      <w:bCs/>
      <w:i/>
      <w:iCs/>
      <w:sz w:val="28"/>
      <w:szCs w:val="28"/>
      <w:shd w:val="clear" w:color="auto" w:fill="8496B0"/>
      <w:lang w:val="ro-RO"/>
    </w:rPr>
  </w:style>
  <w:style w:type="character" w:customStyle="1" w:styleId="Heading3Char">
    <w:name w:val="Heading 3 Char"/>
    <w:link w:val="Heading3"/>
    <w:uiPriority w:val="99"/>
    <w:locked/>
    <w:rsid w:val="00D43251"/>
    <w:rPr>
      <w:rFonts w:ascii="Times New Roman" w:hAnsi="Times New Roman" w:cs="Times New Roman"/>
      <w:i/>
      <w:iCs/>
      <w:color w:val="000000"/>
      <w:sz w:val="32"/>
      <w:szCs w:val="32"/>
    </w:rPr>
  </w:style>
  <w:style w:type="character" w:customStyle="1" w:styleId="Heading6Char">
    <w:name w:val="Heading 6 Char"/>
    <w:link w:val="Heading6"/>
    <w:uiPriority w:val="99"/>
    <w:semiHidden/>
    <w:locked/>
    <w:rsid w:val="00D43251"/>
    <w:rPr>
      <w:rFonts w:ascii="Calibri Light" w:hAnsi="Calibri Light" w:cs="Calibri Light"/>
      <w:color w:val="1F4D7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46A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46A9C"/>
    <w:rPr>
      <w:rFonts w:ascii="Segoe UI" w:hAnsi="Segoe UI" w:cs="Segoe UI"/>
      <w:noProof/>
      <w:sz w:val="18"/>
      <w:szCs w:val="18"/>
      <w:lang w:val="ro-RO"/>
    </w:rPr>
  </w:style>
  <w:style w:type="character" w:styleId="Strong">
    <w:name w:val="Strong"/>
    <w:uiPriority w:val="99"/>
    <w:qFormat/>
    <w:rsid w:val="00D43251"/>
    <w:rPr>
      <w:b/>
      <w:bCs/>
    </w:rPr>
  </w:style>
  <w:style w:type="paragraph" w:styleId="ListParagraph">
    <w:name w:val="List Paragraph"/>
    <w:aliases w:val="Normal bullet 2,List Paragraph1,Forth level,List1,List Paragraph111,Antes de enumeración,List_Paragraph,Multilevel para_II,Akapit z listą BS,Outlines a.b.c.,Akapit z lista BS,Списък на абзаци,Akapit z list¹ BS,numbered list,2,OBC Bullet"/>
    <w:basedOn w:val="Normal"/>
    <w:link w:val="ListParagraphChar"/>
    <w:uiPriority w:val="34"/>
    <w:qFormat/>
    <w:rsid w:val="00D43251"/>
    <w:pPr>
      <w:ind w:left="720"/>
    </w:pPr>
    <w:rPr>
      <w:rFonts w:eastAsia="Calibri"/>
      <w:noProof w:val="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D43251"/>
    <w:pPr>
      <w:keepLines/>
      <w:shd w:val="clear" w:color="auto" w:fill="auto"/>
      <w:spacing w:before="240" w:after="120" w:line="259" w:lineRule="auto"/>
      <w:outlineLvl w:val="9"/>
    </w:pPr>
    <w:rPr>
      <w:rFonts w:ascii="Calibri Light" w:hAnsi="Calibri Light" w:cs="Calibri Light"/>
      <w:b w:val="0"/>
      <w:bCs w:val="0"/>
      <w:color w:val="2E74B5"/>
    </w:rPr>
  </w:style>
  <w:style w:type="paragraph" w:styleId="TOC1">
    <w:name w:val="toc 1"/>
    <w:basedOn w:val="Normal"/>
    <w:next w:val="Normal"/>
    <w:autoRedefine/>
    <w:uiPriority w:val="99"/>
    <w:semiHidden/>
    <w:rsid w:val="002A0084"/>
    <w:pPr>
      <w:spacing w:after="120" w:line="276" w:lineRule="auto"/>
    </w:pPr>
  </w:style>
  <w:style w:type="paragraph" w:styleId="TOC2">
    <w:name w:val="toc 2"/>
    <w:basedOn w:val="Normal"/>
    <w:next w:val="Normal"/>
    <w:autoRedefine/>
    <w:uiPriority w:val="99"/>
    <w:semiHidden/>
    <w:rsid w:val="00331601"/>
    <w:pPr>
      <w:tabs>
        <w:tab w:val="right" w:leader="dot" w:pos="9016"/>
      </w:tabs>
      <w:spacing w:after="100"/>
      <w:ind w:left="238"/>
    </w:pPr>
    <w:rPr>
      <w:color w:val="000000"/>
      <w:shd w:val="clear" w:color="auto" w:fill="9CC2E5"/>
    </w:rPr>
  </w:style>
  <w:style w:type="paragraph" w:styleId="FootnoteText">
    <w:name w:val="footnote text"/>
    <w:aliases w:val="Podrozdział,Footnote Text Char Char,Fußnote,single space,FOOTNOTES,fn,stile 1,Footnote,Footnote1,Footnote2,Footnote3,Footnote4,Footnote5,Footnote6,Footnote7,Footnote8,Footnote9,Footnote10,Footnote11,Footnote11 Char Char,Reference"/>
    <w:basedOn w:val="Normal"/>
    <w:link w:val="FootnoteTextChar2"/>
    <w:rsid w:val="0056790C"/>
    <w:rPr>
      <w:noProof w:val="0"/>
      <w:sz w:val="20"/>
      <w:szCs w:val="20"/>
      <w:lang w:val="en-US"/>
    </w:rPr>
  </w:style>
  <w:style w:type="character" w:customStyle="1" w:styleId="FootnoteTextChar">
    <w:name w:val="Footnote Text Char"/>
    <w:aliases w:val="Podrozdział Char,Footnote Text Char Char Char,Fußnote Char,single space Char,FOOTNOTES Char,fn Char,stile 1 Char,Footnote Char,Footnote1 Char,Footnote2 Char,Footnote3 Char,Footnote4 Char,Footnote5 Char,Footnote6 Char,Footnote7 Char"/>
    <w:uiPriority w:val="99"/>
    <w:semiHidden/>
    <w:locked/>
    <w:rsid w:val="00693930"/>
    <w:rPr>
      <w:rFonts w:ascii="Times New Roman" w:hAnsi="Times New Roman" w:cs="Times New Roman"/>
      <w:noProof/>
      <w:sz w:val="20"/>
      <w:szCs w:val="20"/>
      <w:lang w:val="ro-RO"/>
    </w:rPr>
  </w:style>
  <w:style w:type="character" w:customStyle="1" w:styleId="FootnoteTextChar2">
    <w:name w:val="Footnote Text Char2"/>
    <w:aliases w:val="Podrozdział Char1,Footnote Text Char Char Char1,Fußnote Char1,single space Char1,FOOTNOTES Char1,fn Char1,stile 1 Char1,Footnote Char1,Footnote1 Char1,Footnote2 Char1,Footnote3 Char1,Footnote4 Char1,Footnote5 Char2,Footnote6 Char1"/>
    <w:link w:val="FootnoteText"/>
    <w:uiPriority w:val="99"/>
    <w:locked/>
    <w:rsid w:val="0056790C"/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Normal bullet 2 Char,List Paragraph1 Char,Forth level Char,List1 Char,List Paragraph111 Char,Antes de enumeración Char,List_Paragraph Char,Multilevel para_II Char,Akapit z listą BS Char,Outlines a.b.c. Char,Akapit z lista BS Char"/>
    <w:link w:val="ListParagraph"/>
    <w:uiPriority w:val="99"/>
    <w:locked/>
    <w:rsid w:val="0056790C"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locked/>
    <w:rsid w:val="0056790C"/>
    <w:rPr>
      <w:vertAlign w:val="superscript"/>
    </w:rPr>
  </w:style>
  <w:style w:type="table" w:styleId="TableGrid">
    <w:name w:val="Table Grid"/>
    <w:basedOn w:val="TableNormal"/>
    <w:uiPriority w:val="99"/>
    <w:rsid w:val="0056790C"/>
    <w:rPr>
      <w:rFonts w:cs="Calibri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"/>
    <w:basedOn w:val="Normal"/>
    <w:link w:val="HeaderChar"/>
    <w:rsid w:val="00E24987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 Char"/>
    <w:link w:val="Header"/>
    <w:locked/>
    <w:rsid w:val="00E24987"/>
    <w:rPr>
      <w:rFonts w:ascii="Times New Roman" w:hAnsi="Times New Roman" w:cs="Times New Roman"/>
      <w:noProof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rsid w:val="00E2498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24987"/>
    <w:rPr>
      <w:rFonts w:ascii="Times New Roman" w:hAnsi="Times New Roman" w:cs="Times New Roman"/>
      <w:noProof/>
      <w:sz w:val="24"/>
      <w:szCs w:val="24"/>
      <w:lang w:val="ro-RO"/>
    </w:rPr>
  </w:style>
  <w:style w:type="character" w:styleId="CommentReference">
    <w:name w:val="annotation reference"/>
    <w:uiPriority w:val="99"/>
    <w:semiHidden/>
    <w:rsid w:val="00746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6A9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46A9C"/>
    <w:rPr>
      <w:rFonts w:ascii="Times New Roman" w:hAnsi="Times New Roman" w:cs="Times New Roman"/>
      <w:noProof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6A9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46A9C"/>
    <w:rPr>
      <w:rFonts w:ascii="Times New Roman" w:hAnsi="Times New Roman" w:cs="Times New Roman"/>
      <w:b/>
      <w:bCs/>
      <w:noProof/>
      <w:sz w:val="20"/>
      <w:szCs w:val="20"/>
      <w:lang w:val="ro-RO"/>
    </w:rPr>
  </w:style>
  <w:style w:type="character" w:customStyle="1" w:styleId="FootnoteTextChar1">
    <w:name w:val="Footnote Text Char1"/>
    <w:aliases w:val="Podrozdział Char2,Footnote Text Char Char Char2,Fußnote Char2,single space Char2,footnote text Char,FOOTNOTES Char2,fn Char2,stile 1 Char2,Footnote Char2,Footnote1 Char2,Footnote2 Char2,Footnote3 Char2,Footnote4 Char2,Footnote5 Char1"/>
    <w:rsid w:val="00BE4806"/>
    <w:rPr>
      <w:rFonts w:ascii="Times New Roman" w:hAnsi="Times New Roman" w:cs="Times New Roman"/>
      <w:sz w:val="20"/>
      <w:szCs w:val="20"/>
      <w:lang w:val="en-GB" w:eastAsia="ar-SA" w:bidi="ar-SA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uiPriority w:val="99"/>
    <w:rsid w:val="00BE4806"/>
    <w:pPr>
      <w:spacing w:after="160" w:line="240" w:lineRule="exact"/>
    </w:pPr>
    <w:rPr>
      <w:rFonts w:ascii="Calibri" w:eastAsia="Calibri" w:hAnsi="Calibri" w:cs="Calibri"/>
      <w:noProof w:val="0"/>
      <w:sz w:val="22"/>
      <w:szCs w:val="22"/>
      <w:vertAlign w:val="superscript"/>
      <w:lang w:val="en-US"/>
    </w:rPr>
  </w:style>
  <w:style w:type="paragraph" w:customStyle="1" w:styleId="Titlu4">
    <w:name w:val="Titlu4"/>
    <w:basedOn w:val="Normal"/>
    <w:uiPriority w:val="99"/>
    <w:rsid w:val="00FF7A15"/>
    <w:pPr>
      <w:jc w:val="both"/>
    </w:pPr>
    <w:rPr>
      <w:b/>
      <w:bCs/>
      <w:noProof w:val="0"/>
      <w:lang w:val="it-IT"/>
    </w:rPr>
  </w:style>
  <w:style w:type="table" w:customStyle="1" w:styleId="TableGrid1">
    <w:name w:val="Table Grid1"/>
    <w:uiPriority w:val="99"/>
    <w:rsid w:val="005E5EF4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387121"/>
  </w:style>
  <w:style w:type="paragraph" w:styleId="Revision">
    <w:name w:val="Revision"/>
    <w:hidden/>
    <w:uiPriority w:val="99"/>
    <w:semiHidden/>
    <w:rsid w:val="004E6C12"/>
    <w:rPr>
      <w:rFonts w:ascii="Times New Roman" w:eastAsia="Times New Roman" w:hAnsi="Times New Roman"/>
      <w:noProof/>
      <w:sz w:val="24"/>
      <w:szCs w:val="24"/>
      <w:lang w:val="ro-RO"/>
    </w:rPr>
  </w:style>
  <w:style w:type="paragraph" w:customStyle="1" w:styleId="Default">
    <w:name w:val="Default"/>
    <w:rsid w:val="002E6C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6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A89C7-9961-4CFE-BC6B-FEBFFE9B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1496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mcsi</Company>
  <LinksUpToDate>false</LinksUpToDate>
  <CharactersWithSpaces>10821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Ionica</dc:creator>
  <cp:lastModifiedBy>Elena Cosma</cp:lastModifiedBy>
  <cp:revision>6</cp:revision>
  <cp:lastPrinted>2018-03-13T09:30:00Z</cp:lastPrinted>
  <dcterms:created xsi:type="dcterms:W3CDTF">2022-09-09T10:19:00Z</dcterms:created>
  <dcterms:modified xsi:type="dcterms:W3CDTF">2022-11-07T07:49:00Z</dcterms:modified>
</cp:coreProperties>
</file>